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media/rId93.png" ContentType="image/png"/>
  <Override PartName="/word/media/rId142.png" ContentType="image/png"/>
  <Override PartName="/word/media/rId147.png" ContentType="image/png"/>
  <Override PartName="/word/media/rId30.png" ContentType="image/png"/>
  <Override PartName="/word/media/rId46.png" ContentType="image/png"/>
  <Override PartName="/word/media/rId35.png" ContentType="image/png"/>
  <Override PartName="/word/media/rId131.png" ContentType="image/png"/>
  <Override PartName="/word/media/rId51.png" ContentType="image/png"/>
  <Override PartName="/word/media/rId40.png" ContentType="image/png"/>
  <Override PartName="/word/media/rId56.png" ContentType="image/png"/>
  <Override PartName="/word/media/rId77.png" ContentType="image/png"/>
  <Override PartName="/word/media/rId82.png" ContentType="image/png"/>
  <Override PartName="/word/media/rId72.png" ContentType="image/png"/>
  <Override PartName="/word/media/rId120.png" ContentType="image/png"/>
  <Override PartName="/word/media/rId101.png" ContentType="image/png"/>
  <Override PartName="/word/media/rId112.png" ContentType="image/png"/>
  <Override PartName="/word/media/rId25.png" ContentType="image/png"/>
  <Override PartName="/word/media/rId65.png" ContentType="image/png"/>
  <Override PartName="/word/media/rId136.png" ContentType="image/png"/>
  <Override PartName="/word/media/rId87.png" ContentType="image/png"/>
  <Override PartName="/word/media/rId125.png" ContentType="image/png"/>
  <Override PartName="/word/media/rId165.png" ContentType="image/png"/>
  <Override PartName="/word/media/rId154.png" ContentType="image/png"/>
  <Override PartName="/word/media/rId15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1" w:name="introduction"/>
    <w:p>
      <w:pPr>
        <w:pStyle w:val="Heading1"/>
      </w:pPr>
      <w:r>
        <w:t xml:space="preserve">Introduction</w:t>
      </w:r>
    </w:p>
    <w:p>
      <w:pPr>
        <w:pStyle w:val="FirstParagraph"/>
      </w:pPr>
      <w:r>
        <w:t xml:space="preserve">This paper presents a series of simulations conducted to evaluate methods to detect item misfit due to multidimensionality in Rasch models. First, conditional item infit and outfit</w:t>
      </w:r>
      <w:r>
        <w:t xml:space="preserve"> </w:t>
      </w:r>
      <w:r>
        <w:t xml:space="preserve">(Müller, 2020)</w:t>
      </w:r>
      <w:r>
        <w:t xml:space="preserve"> </w:t>
      </w:r>
      <w:r>
        <w:t xml:space="preserve">will be under scrutiny. Second, item infit will be compared to the item-restscore method</w:t>
      </w:r>
      <w:r>
        <w:t xml:space="preserve"> </w:t>
      </w:r>
      <w:r>
        <w:t xml:space="preserve">(Christensen &amp; Kreiner, 2013; Kreiner, 2011)</w:t>
      </w:r>
      <w:r>
        <w:t xml:space="preserve">. Third, a bootstrap method for item-restscore will be presented and tested. This paper is intended for a target group of those who make practical use of Rasch analysis and wish to better understand the expected performance of methods available. As such, we refer readers interested in mathematical and statistical descriptions of the methods to referenced papers detailing this aspect. Only two simple performance metrics will be presented in the results: correct detection rate and false positive rate, both in percentages.</w:t>
      </w:r>
    </w:p>
    <w:p>
      <w:pPr>
        <w:pStyle w:val="BodyText"/>
      </w:pPr>
      <w:r>
        <w:t xml:space="preserve">The evaluation of item fit under the Rasch model has, in the majority of published psychometric papers, been conducted using various more or less arbitrary rule-of-thumb critical values. Regarding mean squared (MSQ) item residuals, which should ideally be centered around 1.0, there are two sources often cited. One is the book by Bond &amp; Fox</w:t>
      </w:r>
      <w:r>
        <w:t xml:space="preserve"> </w:t>
      </w:r>
      <w:r>
        <w:t xml:space="preserve">(2015)</w:t>
      </w:r>
      <w:r>
        <w:t xml:space="preserve">, which has garnered around 12 000 citations according to Google Scholar. It contains a table with rule-of-thumb recommendations for various settings, ranging from 0.8–1.2 to 0.5–1.7. Another frequently seen source, which is not an actual peer-reviewed publication and thus lacks citation counts, is the webpage at</w:t>
      </w:r>
      <w:r>
        <w:t xml:space="preserve"> </w:t>
      </w:r>
      <w:hyperlink r:id="rId20">
        <w:r>
          <w:rPr>
            <w:rStyle w:val="Hyperlink"/>
          </w:rPr>
          <w:t xml:space="preserve">https://rasch.org/rmt/rmt162f.htm</w:t>
        </w:r>
      </w:hyperlink>
      <w:r>
        <w:t xml:space="preserve">, where Mike Linacre states 0.5-1.5 to be</w:t>
      </w:r>
      <w:r>
        <w:t xml:space="preserve"> </w:t>
      </w:r>
      <w:r>
        <w:t xml:space="preserve">“productive for measurement”</w:t>
      </w:r>
      <w:r>
        <w:t xml:space="preserve">. Neither of these sources seem to rely on simulation studies to support their recommendations. While it is reasonable to accept a non-perfect fit to the Rasch model and also describe what one defines as acceptable levels of misfit, such recommendations would seem less arbitrary if related to simulations showing the range of item fit values found when simulating data that fit the Rasch model.</w:t>
      </w:r>
    </w:p>
    <w:p>
      <w:pPr>
        <w:pStyle w:val="BodyText"/>
      </w:pPr>
      <w:r>
        <w:t xml:space="preserve">Müller</w:t>
      </w:r>
      <w:r>
        <w:t xml:space="preserve"> </w:t>
      </w:r>
      <w:r>
        <w:t xml:space="preserve">(2020)</w:t>
      </w:r>
      <w:r>
        <w:t xml:space="preserve"> </w:t>
      </w:r>
      <w:r>
        <w:t xml:space="preserve">used simulation to show how the range of critical values for conditional item infit varies with sample size. The expected average conditional item infit range was described by Müller as fairly well captured by Smith’s rule-of-thumb formula 1±2/</w:t>
      </w:r>
      <m:oMath>
        <m:rad>
          <m:radPr>
            <m:degHide m:val="on"/>
          </m:radPr>
          <m:deg/>
          <m:e>
            <m:r>
              <m:t>n</m:t>
            </m:r>
          </m:e>
        </m:rad>
      </m:oMath>
      <w:r>
        <w:t xml:space="preserve"> </w:t>
      </w:r>
      <w:r>
        <w:t xml:space="preserve">(R. M. Smith et al., 1998)</w:t>
      </w:r>
      <w:r>
        <w:t xml:space="preserve">. However, the average range does not apply for all items within a dataset, since item location relative to sample mean location also affects the model expected fit for individual items. This means that some items within a set of items varying in location are likely to have item fit values outside Smith’s average value range while still fitting the Rasch model. Although primarily affecte by sample size, each item has its variations in the range of expected item fit.</w:t>
      </w:r>
    </w:p>
    <w:p>
      <w:pPr>
        <w:pStyle w:val="BodyText"/>
      </w:pPr>
      <w:r>
        <w:t xml:space="preserve">While evaluation of item fit is an essential part of evaluating unidimensionality, it is recommended to use multiple methods. Standardized residuals are frequently analyzed, commonly with principal component analysis (PCA) and an analysis of residual correlations amongst item pairs, often referred to as Yen’s Q3. Chou and Wang</w:t>
      </w:r>
      <w:r>
        <w:t xml:space="preserve"> </w:t>
      </w:r>
      <w:r>
        <w:t xml:space="preserve">(2010)</w:t>
      </w:r>
      <w:r>
        <w:t xml:space="preserve"> </w:t>
      </w:r>
      <w:r>
        <w:t xml:space="preserve">showed that the critical value for PCA of residuals to support unidimensionality suggested by Smith</w:t>
      </w:r>
      <w:r>
        <w:t xml:space="preserve"> </w:t>
      </w:r>
      <w:r>
        <w:t xml:space="preserve">(2002)</w:t>
      </w:r>
      <w:r>
        <w:t xml:space="preserve">, using the largest eigenvalue &lt; 1.5, is not generally applicable since it is affected by both test length and sample size. Christensen and colleagues</w:t>
      </w:r>
      <w:r>
        <w:t xml:space="preserve"> </w:t>
      </w:r>
      <w:r>
        <w:t xml:space="preserve">(2017)</w:t>
      </w:r>
      <w:r>
        <w:t xml:space="preserve"> </w:t>
      </w:r>
      <w:r>
        <w:t xml:space="preserve">used simulation methods to illustrate the expected range of residual correlations under different conditions. Both of these papers provide important information about the dubiousness of using rule-of-thumb critical values when the empirical distribution of a statistic is not known, but they leave practitioners without tools to determine appropriate cutoffs to apply in practical analysis work.</w:t>
      </w:r>
    </w:p>
    <w:p>
      <w:pPr>
        <w:pStyle w:val="BodyText"/>
      </w:pPr>
      <w:r>
        <w:t xml:space="preserve">It is here proposed that by using bootstrapping one can establish item fit critical cutoff values that are relevant for a specific sample and item set. The procedure uses the properties of the available data and simulates multiple new response datasets that fit the Rasch model to determine the range of plausible item fit values for each item. The R package</w:t>
      </w:r>
      <w:r>
        <w:t xml:space="preserve"> </w:t>
      </w:r>
      <w:r>
        <w:rPr>
          <w:rStyle w:val="VerbatimChar"/>
        </w:rPr>
        <w:t xml:space="preserve">easyRasch</w:t>
      </w:r>
      <w:r>
        <w:t xml:space="preserve"> </w:t>
      </w:r>
      <w:r>
        <w:t xml:space="preserve">(Johansson, 2024a)</w:t>
      </w:r>
      <w:r>
        <w:t xml:space="preserve"> </w:t>
      </w:r>
      <w:r>
        <w:t xml:space="preserve">includes a function to determine item infit and outfit cutoff values using this method and will be tested in the simulation studies in this paper.</w:t>
      </w:r>
    </w:p>
    <w:p>
      <w:pPr>
        <w:pStyle w:val="BodyText"/>
      </w:pPr>
      <w:r>
        <w:t xml:space="preserve">Similar developments, moving from rule-of-thumb towards adaptive critical values, have recently taken place in the related field of confirmatory factor analysis. McNeish and Wolf</w:t>
      </w:r>
      <w:r>
        <w:t xml:space="preserve"> </w:t>
      </w:r>
      <w:r>
        <w:t xml:space="preserve">(2024)</w:t>
      </w:r>
      <w:r>
        <w:t xml:space="preserve"> </w:t>
      </w:r>
      <w:r>
        <w:t xml:space="preserve">have created an R package called</w:t>
      </w:r>
      <w:r>
        <w:t xml:space="preserve"> </w:t>
      </w:r>
      <w:r>
        <w:rPr>
          <w:rStyle w:val="VerbatimChar"/>
        </w:rPr>
        <w:t xml:space="preserve">dynamic</w:t>
      </w:r>
      <w:r>
        <w:t xml:space="preserve"> </w:t>
      </w:r>
      <w:r>
        <w:t xml:space="preserve">that uses bootstrapping to determine appropriate critical values for commonly used model fit metrics for models using ordinal or interval data.</w:t>
      </w:r>
    </w:p>
    <w:p>
      <w:pPr>
        <w:pStyle w:val="BodyText"/>
      </w:pPr>
      <w:r>
        <w:t xml:space="preserve">It is important to note that the conditional item fit described by Müller</w:t>
      </w:r>
      <w:r>
        <w:t xml:space="preserve"> </w:t>
      </w:r>
      <w:r>
        <w:t xml:space="preserve">(2020)</w:t>
      </w:r>
      <w:r>
        <w:t xml:space="preserve"> </w:t>
      </w:r>
      <w:r>
        <w:t xml:space="preserve">and implemented in the</w:t>
      </w:r>
      <w:r>
        <w:t xml:space="preserve"> </w:t>
      </w:r>
      <w:r>
        <w:rPr>
          <w:rStyle w:val="VerbatimChar"/>
        </w:rPr>
        <w:t xml:space="preserve">iarm</w:t>
      </w:r>
      <w:r>
        <w:t xml:space="preserve"> </w:t>
      </w:r>
      <w:r>
        <w:t xml:space="preserve">R package</w:t>
      </w:r>
      <w:r>
        <w:t xml:space="preserve"> </w:t>
      </w:r>
      <w:r>
        <w:t xml:space="preserve">(Mueller &amp; Santiago, 2022)</w:t>
      </w:r>
      <w:r>
        <w:t xml:space="preserve"> </w:t>
      </w:r>
      <w:r>
        <w:t xml:space="preserve">should not be confused with the unconditional item fit implemented in software such as Winsteps and RUMM2030, as well as all R packages except</w:t>
      </w:r>
      <w:r>
        <w:t xml:space="preserve"> </w:t>
      </w:r>
      <w:r>
        <w:rPr>
          <w:rStyle w:val="VerbatimChar"/>
        </w:rPr>
        <w:t xml:space="preserve">iarm</w:t>
      </w:r>
      <w:r>
        <w:t xml:space="preserve">. Unconditional item fit can result in unreliable item fit in sample sizes as small as 200 with an increasing probability of problems as sample size increases. Readers are strongly recommended to read Müller’s paper to fully understand the issues with unconditional item fit. Additionally, the experienced Rasch analyst will perhaps wonder why the Wilson-Hilferty transformed Z statistic (often abbreviated ZSTD), which is based on unconditional MSQ is not included in this analysis. This is also explained in Müller’s paper, where she describes both the notorious problems with sample size and shows that conditional item fit makes ZSTD superfluous. The</w:t>
      </w:r>
      <w:r>
        <w:t xml:space="preserve"> </w:t>
      </w:r>
      <w:r>
        <w:rPr>
          <w:rStyle w:val="VerbatimChar"/>
        </w:rPr>
        <w:t xml:space="preserve">easyRasch</w:t>
      </w:r>
      <w:r>
        <w:t xml:space="preserve"> </w:t>
      </w:r>
      <w:r>
        <w:t xml:space="preserve">package, which is used in this paper, uses the</w:t>
      </w:r>
      <w:r>
        <w:t xml:space="preserve"> </w:t>
      </w:r>
      <w:r>
        <w:rPr>
          <w:rStyle w:val="VerbatimChar"/>
        </w:rPr>
        <w:t xml:space="preserve">iarm</w:t>
      </w:r>
      <w:r>
        <w:t xml:space="preserve"> </w:t>
      </w:r>
      <w:r>
        <w:t xml:space="preserve">implementation of conditional item fit.</w:t>
      </w:r>
    </w:p>
    <w:p>
      <w:pPr>
        <w:pStyle w:val="BodyText"/>
      </w:pPr>
      <w:r>
        <w:t xml:space="preserve">Currently, there are no published studies on the performance the item-restscore method, as described by Kreiner and Christensen</w:t>
      </w:r>
      <w:r>
        <w:t xml:space="preserve"> </w:t>
      </w:r>
      <w:r>
        <w:t xml:space="preserve">(Christensen &amp; Kreiner, 2013; Kreiner, 2011)</w:t>
      </w:r>
      <w:r>
        <w:t xml:space="preserve">, in detecting misfitting items. Comparing it with an improved version of the long used item infit/outfit methods seemed like a good setting to evaluate item-restscore. The conditional likelihood ratio test</w:t>
      </w:r>
      <w:r>
        <w:t xml:space="preserve"> </w:t>
      </w:r>
      <w:r>
        <w:t xml:space="preserve">(Andersen, 1973)</w:t>
      </w:r>
      <w:r>
        <w:t xml:space="preserve"> </w:t>
      </w:r>
      <w:r>
        <w:t xml:space="preserve">is included in Study 6, since it is a global test of fit that many are likely to be familiar with. As such, it also serves as a point of reference.</w:t>
      </w:r>
    </w:p>
    <w:p>
      <w:pPr>
        <w:pStyle w:val="BodyText"/>
      </w:pPr>
      <w:r>
        <w:t xml:space="preserve">There are six simulation studies included in this paper:</w:t>
      </w:r>
    </w:p>
    <w:p>
      <w:pPr>
        <w:pStyle w:val="Compact"/>
        <w:numPr>
          <w:ilvl w:val="0"/>
          <w:numId w:val="1001"/>
        </w:numPr>
      </w:pPr>
      <w:r>
        <w:t xml:space="preserve">Conditional item infit and outfit</w:t>
      </w:r>
    </w:p>
    <w:p>
      <w:pPr>
        <w:pStyle w:val="Compact"/>
        <w:numPr>
          <w:ilvl w:val="0"/>
          <w:numId w:val="1001"/>
        </w:numPr>
      </w:pPr>
      <w:r>
        <w:t xml:space="preserve">Item-restscore</w:t>
      </w:r>
    </w:p>
    <w:p>
      <w:pPr>
        <w:pStyle w:val="Compact"/>
        <w:numPr>
          <w:ilvl w:val="0"/>
          <w:numId w:val="1001"/>
        </w:numPr>
      </w:pPr>
      <w:r>
        <w:t xml:space="preserve">Comparing infit and item-restscore</w:t>
      </w:r>
    </w:p>
    <w:p>
      <w:pPr>
        <w:pStyle w:val="Compact"/>
        <w:numPr>
          <w:ilvl w:val="0"/>
          <w:numId w:val="1001"/>
        </w:numPr>
      </w:pPr>
      <w:r>
        <w:t xml:space="preserve">Bootstrapped item-restscore</w:t>
      </w:r>
    </w:p>
    <w:p>
      <w:pPr>
        <w:pStyle w:val="Compact"/>
        <w:numPr>
          <w:ilvl w:val="0"/>
          <w:numId w:val="1001"/>
        </w:numPr>
      </w:pPr>
      <w:r>
        <w:t xml:space="preserve">Varying the number of items</w:t>
      </w:r>
    </w:p>
    <w:p>
      <w:pPr>
        <w:pStyle w:val="Compact"/>
        <w:numPr>
          <w:ilvl w:val="0"/>
          <w:numId w:val="1001"/>
        </w:numPr>
      </w:pPr>
      <w:r>
        <w:t xml:space="preserve">Conditional likelihood ratio test</w:t>
      </w:r>
    </w:p>
    <w:bookmarkEnd w:id="21"/>
    <w:bookmarkStart w:id="23" w:name="methods"/>
    <w:p>
      <w:pPr>
        <w:pStyle w:val="Heading1"/>
      </w:pPr>
      <w:r>
        <w:t xml:space="preserve">Methods</w:t>
      </w:r>
    </w:p>
    <w:p>
      <w:pPr>
        <w:pStyle w:val="FirstParagraph"/>
      </w:pPr>
      <w:r>
        <w:t xml:space="preserve">A fully reproducible manuscript with R code and data is available on GitHub:</w:t>
      </w:r>
      <w:r>
        <w:t xml:space="preserve"> </w:t>
      </w:r>
      <w:hyperlink r:id="rId22">
        <w:r>
          <w:rPr>
            <w:rStyle w:val="Hyperlink"/>
          </w:rPr>
          <w:t xml:space="preserve">https://github.com/pgmj/rasch_itemfit</w:t>
        </w:r>
      </w:hyperlink>
      <w:r>
        <w:t xml:space="preserve">. Each study included in this paper has its own brief introduction and method section. This is a general description of the methods used.</w:t>
      </w:r>
    </w:p>
    <w:p>
      <w:pPr>
        <w:pStyle w:val="BodyText"/>
      </w:pPr>
      <w:r>
        <w:t xml:space="preserve">The simulation of response data used three steps: First, a vector of theta values (person scores on the latent variable’s logit scale) was generated using</w:t>
      </w:r>
      <w:r>
        <w:t xml:space="preserve"> </w:t>
      </w:r>
      <w:r>
        <w:rPr>
          <w:rStyle w:val="VerbatimChar"/>
        </w:rPr>
        <w:t xml:space="preserve">rnorm(mean = 0, sd = 1.5)</w:t>
      </w:r>
      <w:r>
        <w:t xml:space="preserve">. Second, a set of item locations ranging from -2 to 2 logits were generated for dichotomous items, using</w:t>
      </w:r>
      <w:r>
        <w:t xml:space="preserve"> </w:t>
      </w:r>
      <w:r>
        <w:rPr>
          <w:rStyle w:val="VerbatimChar"/>
        </w:rPr>
        <w:t xml:space="preserve">runif(n = 20, min = -2, max = 2)</w:t>
      </w:r>
      <w:r>
        <w:t xml:space="preserve">. Third, the theta values were used to simulate item responses for participants, using</w:t>
      </w:r>
      <w:r>
        <w:t xml:space="preserve"> </w:t>
      </w:r>
      <w:r>
        <w:rPr>
          <w:rStyle w:val="VerbatimChar"/>
        </w:rPr>
        <w:t xml:space="preserve">sim.xdim()</w:t>
      </w:r>
      <w:r>
        <w:t xml:space="preserve"> </w:t>
      </w:r>
      <w:r>
        <w:t xml:space="preserve">from the</w:t>
      </w:r>
      <w:r>
        <w:t xml:space="preserve"> </w:t>
      </w:r>
      <w:r>
        <w:rPr>
          <w:rStyle w:val="VerbatimChar"/>
        </w:rPr>
        <w:t xml:space="preserve">eRm</w:t>
      </w:r>
      <w:r>
        <w:t xml:space="preserve"> </w:t>
      </w:r>
      <w:r>
        <w:t xml:space="preserve">package</w:t>
      </w:r>
      <w:r>
        <w:t xml:space="preserve"> </w:t>
      </w:r>
      <w:r>
        <w:t xml:space="preserve">(Mair &amp; Hatzinger, 2007)</w:t>
      </w:r>
      <w:r>
        <w:t xml:space="preserve">, which allows the simulation of multidimensional response data. Multiple datasets with 10 000 respondents each were generated using the same item and person parameters, varying the targeting of the misfitting item(s) and number of the misfitting item(s). More details are described in the separate studies. The parametric bootstrapping procedure was implemented using random samples from the simulated datasets. Sample size variations tested are also described in each study.</w:t>
      </w:r>
    </w:p>
    <w:p>
      <w:pPr>
        <w:pStyle w:val="BodyText"/>
      </w:pPr>
      <w:r>
        <w:t xml:space="preserve">The general procedure for the parametric bootstrapping was as follows:</w:t>
      </w:r>
    </w:p>
    <w:p>
      <w:pPr>
        <w:pStyle w:val="Compact"/>
        <w:numPr>
          <w:ilvl w:val="0"/>
          <w:numId w:val="1002"/>
        </w:numPr>
      </w:pPr>
      <w:r>
        <w:t xml:space="preserve">Estimation of item locations based on simulated item response data, using conditional maximum likelihood</w:t>
      </w:r>
      <w:r>
        <w:t xml:space="preserve"> </w:t>
      </w:r>
      <w:r>
        <w:t xml:space="preserve">(CML, Mair &amp; Hatzinger, 2007)</w:t>
      </w:r>
      <w:r>
        <w:t xml:space="preserve">.</w:t>
      </w:r>
    </w:p>
    <w:p>
      <w:pPr>
        <w:pStyle w:val="Compact"/>
        <w:numPr>
          <w:ilvl w:val="0"/>
          <w:numId w:val="1002"/>
        </w:numPr>
      </w:pPr>
      <w:r>
        <w:t xml:space="preserve">Estimation of sample theta values using weighted maximum likelihood</w:t>
      </w:r>
      <w:r>
        <w:t xml:space="preserve"> </w:t>
      </w:r>
      <w:r>
        <w:t xml:space="preserve">(Warm, 1989)</w:t>
      </w:r>
      <w:r>
        <w:t xml:space="preserve">.</w:t>
      </w:r>
    </w:p>
    <w:p>
      <w:pPr>
        <w:pStyle w:val="Compact"/>
        <w:numPr>
          <w:ilvl w:val="0"/>
          <w:numId w:val="1002"/>
        </w:numPr>
      </w:pPr>
      <w:r>
        <w:t xml:space="preserve">Simulation of new response data that fit the Rasch model, using the estimated item locations and theta values.</w:t>
      </w:r>
    </w:p>
    <w:p>
      <w:pPr>
        <w:pStyle w:val="Compact"/>
        <w:numPr>
          <w:ilvl w:val="0"/>
          <w:numId w:val="1002"/>
        </w:numPr>
      </w:pPr>
      <w:r>
        <w:t xml:space="preserve">Estimation of the dichotomous Rasch model for the new response data using CML.</w:t>
      </w:r>
    </w:p>
    <w:p>
      <w:pPr>
        <w:pStyle w:val="Compact"/>
        <w:numPr>
          <w:ilvl w:val="0"/>
          <w:numId w:val="1002"/>
        </w:numPr>
      </w:pPr>
      <w:r>
        <w:t xml:space="preserve">Based on step 4, calculation of conditional item infit and outfit</w:t>
      </w:r>
      <w:r>
        <w:t xml:space="preserve"> </w:t>
      </w:r>
      <w:r>
        <w:t xml:space="preserve">(Mueller &amp; Santiago, 2022; Müller, 2020)</w:t>
      </w:r>
      <w:r>
        <w:t xml:space="preserve"> </w:t>
      </w:r>
      <w:r>
        <w:t xml:space="preserve">and/or item-restscore metrics</w:t>
      </w:r>
      <w:r>
        <w:t xml:space="preserve"> </w:t>
      </w:r>
      <w:r>
        <w:t xml:space="preserve">(Kreiner, 2011; Mueller &amp; Santiago, 2022)</w:t>
      </w:r>
      <w:r>
        <w:t xml:space="preserve">.</w:t>
      </w:r>
    </w:p>
    <w:p>
      <w:pPr>
        <w:pStyle w:val="FirstParagraph"/>
      </w:pPr>
      <w:r>
        <w:t xml:space="preserve">Steps three and four were iterated over, using resampling with replacement from the estimated theta values as a basis for simulating the response data in step three. Summary statistics were created with a focus on the percentage of correct detection of misfit and false positives. A complete list of software used for the analyses is listed under</w:t>
      </w:r>
      <w:r>
        <w:t xml:space="preserve"> </w:t>
      </w:r>
      <w:hyperlink w:anchor="sec-addmat">
        <w:r>
          <w:rPr>
            <w:rStyle w:val="Hyperlink"/>
          </w:rPr>
          <w:t xml:space="preserve">Section 11</w:t>
        </w:r>
      </w:hyperlink>
      <w:r>
        <w:t xml:space="preserve">.</w:t>
      </w:r>
    </w:p>
    <w:bookmarkEnd w:id="23"/>
    <w:bookmarkStart w:id="64" w:name="study-1-item-infit-and-outfit"/>
    <w:p>
      <w:pPr>
        <w:pStyle w:val="Heading1"/>
      </w:pPr>
      <w:r>
        <w:t xml:space="preserve">Study 1: Item infit and outfit</w:t>
      </w:r>
    </w:p>
    <w:p>
      <w:pPr>
        <w:pStyle w:val="FirstParagraph"/>
      </w:pPr>
      <w:r>
        <w:t xml:space="preserve">Item mean square standardized residuals are either unweighted, which is referred to as</w:t>
      </w:r>
      <w:r>
        <w:t xml:space="preserve"> </w:t>
      </w:r>
      <w:r>
        <w:t xml:space="preserve">“outfit”</w:t>
      </w:r>
      <w:r>
        <w:t xml:space="preserve">, or information weighted, also known as</w:t>
      </w:r>
      <w:r>
        <w:t xml:space="preserve"> </w:t>
      </w:r>
      <w:r>
        <w:t xml:space="preserve">“infit”</w:t>
      </w:r>
      <w:r>
        <w:t xml:space="preserve"> </w:t>
      </w:r>
      <w:r>
        <w:t xml:space="preserve">(Ostini &amp; Nering, 2006, pp. 86–87)</w:t>
      </w:r>
      <w:r>
        <w:t xml:space="preserve">. Outfit is sensitive to outliers, while infit is much less affected by outliers. Both infit and outfit are based on individual response residuals. For details on conditional item fit we refer to the previously mentioned paper by Müller</w:t>
      </w:r>
      <w:r>
        <w:t xml:space="preserve"> </w:t>
      </w:r>
      <w:r>
        <w:t xml:space="preserve">(2020)</w:t>
      </w:r>
      <w:r>
        <w:t xml:space="preserve">. Conditional item infit and outfit are expected to be near 1, with higher values indicating an item to be underfitting the Rasch model (often due to multidimensionality issues) and lower values indicating overfit. For a good overview on item fit and its interpretation, see the chapter by Christensen and Kreiner</w:t>
      </w:r>
      <w:r>
        <w:t xml:space="preserve"> </w:t>
      </w:r>
      <w:r>
        <w:t xml:space="preserve">(2013)</w:t>
      </w:r>
      <w:r>
        <w:t xml:space="preserve">.</w:t>
      </w:r>
    </w:p>
    <w:p>
      <w:pPr>
        <w:pStyle w:val="BodyText"/>
      </w:pPr>
      <w:r>
        <w:t xml:space="preserve">The function</w:t>
      </w:r>
      <w:r>
        <w:t xml:space="preserve"> </w:t>
      </w:r>
      <w:r>
        <w:rPr>
          <w:rStyle w:val="VerbatimChar"/>
        </w:rPr>
        <w:t xml:space="preserve">RIgetfit()</w:t>
      </w:r>
      <w:r>
        <w:t xml:space="preserve"> </w:t>
      </w:r>
      <w:r>
        <w:t xml:space="preserve">from the</w:t>
      </w:r>
      <w:r>
        <w:t xml:space="preserve"> </w:t>
      </w:r>
      <w:r>
        <w:rPr>
          <w:rStyle w:val="VerbatimChar"/>
        </w:rPr>
        <w:t xml:space="preserve">easyRasch</w:t>
      </w:r>
      <w:r>
        <w:t xml:space="preserve"> </w:t>
      </w:r>
      <w:r>
        <w:t xml:space="preserve">R package is tested here. Its source code can be accessed on GitHub, see</w:t>
      </w:r>
      <w:r>
        <w:t xml:space="preserve"> </w:t>
      </w:r>
      <w:hyperlink w:anchor="sec-addmat">
        <w:r>
          <w:rPr>
            <w:rStyle w:val="Hyperlink"/>
          </w:rPr>
          <w:t xml:space="preserve">Section 11</w:t>
        </w:r>
      </w:hyperlink>
      <w:r>
        <w:t xml:space="preserve">. The function offers the user a choice of the number of bootstrap iterations to use to determine the critical cutoff values for each item’s infit and outfit. Our main interest in this study is two-fold. We want to test variations in the number of iterations used in</w:t>
      </w:r>
      <w:r>
        <w:t xml:space="preserve"> </w:t>
      </w:r>
      <w:r>
        <w:rPr>
          <w:rStyle w:val="VerbatimChar"/>
        </w:rPr>
        <w:t xml:space="preserve">RIgetfit()</w:t>
      </w:r>
      <w:r>
        <w:t xml:space="preserve"> </w:t>
      </w:r>
      <w:r>
        <w:t xml:space="preserve">and evaluate how well the critical values based on the parametric bootstrapping procedure detect misfitting items. Additionally, a comparison between infit and outfit statistics in terms of detection rate and false positive rate will be conducted.</w:t>
      </w:r>
    </w:p>
    <w:p>
      <w:pPr>
        <w:pStyle w:val="BodyText"/>
      </w:pPr>
      <w:r>
        <w:t xml:space="preserve">20 dichotomous items are used, with one item misfitting. Item locations are the same throughout all studies unless otherwise noted. The location of the misfitting item relative to the sample theta mean was selected to be approximately 0, -1, and -2 logits. Three separate datasets were generated with these variations, each with 10 000 simulated respondents. One dataset with all three misfitting items was also generated, using the same sample size.</w:t>
      </w:r>
    </w:p>
    <w:p>
      <w:pPr>
        <w:pStyle w:val="BodyText"/>
      </w:pPr>
      <w:r>
        <w:t xml:space="preserve">Then the</w:t>
      </w:r>
      <w:r>
        <w:t xml:space="preserve"> </w:t>
      </w:r>
      <w:r>
        <w:rPr>
          <w:rStyle w:val="VerbatimChar"/>
        </w:rPr>
        <w:t xml:space="preserve">RIitemfit()</w:t>
      </w:r>
      <w:r>
        <w:t xml:space="preserve"> </w:t>
      </w:r>
      <w:r>
        <w:t xml:space="preserve">function is used to summarize the bootstrap results and also calculates the infit and outfit for each item in the observed data and highlights items with infit/outfit values outside of the cutoff values.</w:t>
      </w:r>
      <w:r>
        <w:t xml:space="preserve"> </w:t>
      </w:r>
      <w:r>
        <w:rPr>
          <w:rStyle w:val="VerbatimChar"/>
        </w:rPr>
        <w:t xml:space="preserve">RIitemfit()</w:t>
      </w:r>
      <w:r>
        <w:t xml:space="preserve"> </w:t>
      </w:r>
      <w:r>
        <w:t xml:space="preserve">has a default (user-modifiable) setting to slightly truncate the distribution of values using</w:t>
      </w:r>
      <w:r>
        <w:t xml:space="preserve"> </w:t>
      </w:r>
      <w:r>
        <w:rPr>
          <w:rStyle w:val="VerbatimChar"/>
        </w:rPr>
        <w:t xml:space="preserve">stats::quantile()</w:t>
      </w:r>
      <w:r>
        <w:t xml:space="preserve"> </w:t>
      </w:r>
      <w:r>
        <w:t xml:space="preserve">at 0.001 and 0.999 to remove extreme values. An example is demonstrated in</w:t>
      </w:r>
      <w:r>
        <w:t xml:space="preserve"> </w:t>
      </w:r>
      <w:hyperlink w:anchor="tbl-itemfit1">
        <w:r>
          <w:rPr>
            <w:rStyle w:val="Hyperlink"/>
          </w:rPr>
          <w:t xml:space="preserve">Table 1</w:t>
        </w:r>
      </w:hyperlink>
      <w:r>
        <w:t xml:space="preserve">, using a subset of the items used in the simulations.</w:t>
      </w:r>
      <w:r>
        <w:t xml:space="preserve"> </w:t>
      </w:r>
      <w:hyperlink w:anchor="fig-itemfit1">
        <w:r>
          <w:rPr>
            <w:rStyle w:val="Hyperlink"/>
          </w:rPr>
          <w:t xml:space="preserve">Figure 1</w:t>
        </w:r>
      </w:hyperlink>
      <w:r>
        <w:t xml:space="preserve"> </w:t>
      </w:r>
      <w:r>
        <w:t xml:space="preserve">provides a visualization of the distribution of bootstrapped infit and outfit values, together with the infit/outfit values from the observed data illustrated using an orange diamond shape. Note the variation between items in plausible values of infit and outfit based on the bootstrap, and that Smith’s rule-of-thumb regarding infit (1±2/</w:t>
      </w:r>
      <m:oMath>
        <m:rad>
          <m:radPr>
            <m:degHide m:val="on"/>
          </m:radPr>
          <m:deg/>
          <m:e>
            <m:r>
              <m:t>n</m:t>
            </m:r>
          </m:e>
        </m:rad>
      </m:oMath>
      <w:r>
        <w:t xml:space="preserve">) would be 0.9-1.1 for a sample size of 400.</w:t>
      </w:r>
    </w:p>
    <w:p>
      <w:pPr>
        <w:pStyle w:val="BodyText"/>
      </w:pPr>
      <w:r>
        <w:t xml:space="preserve">This study was rather computationally demanding since each simulation run entailed 100-400 underlying bootstrap iterations. The sample sizes used were 150, 250, 500, and 1000. The number of iterations to determine cutoff values were 100, 200, and 400. Sample size and iteration conditions were fully crossed with each other and the three different targeting variations of the one misfitting item, resulting in 4 * 3 * 3 = 36 conditions. Each combination used 200 simulation runs. The simulations took about 12 hours to run on a Macbook Pro Max M1 using 9 CPU cores.</w:t>
      </w:r>
    </w:p>
    <w:tbl>
      <w:tblPr>
        <w:tblStyle w:val="Table"/>
        <w:tblW w:type="pct" w:w="5000"/>
        <w:tblLayout w:type="fixed"/>
        <w:tblLook w:firstRow="0" w:lastRow="0" w:firstColumn="0" w:lastColumn="0" w:noHBand="0" w:noVBand="0" w:val="0000"/>
      </w:tblPr>
      <w:tblGrid>
        <w:gridCol w:w="7920"/>
      </w:tblGrid>
      <w:tr>
        <w:tc>
          <w:tcPr/>
          <w:bookmarkStart w:id="24" w:name="tbl-itemfit1"/>
          <w:p>
            <w:pPr>
              <w:jc w:val="center"/>
            </w:pPr>
            <w:pPr>
              <w:jc w:val="start"/>
              <w:spacing w:before="200"/>
              <w:pStyle w:val="ImageCaption"/>
            </w:pPr>
            <w:r>
              <w:t xml:space="preserve">Table 1: Conditional item fit with simulation-based cutoff values</w:t>
            </w:r>
          </w:p>
          <w:tbl>
            <w:tblPr>
              <w:tblStyle w:val="Table"/>
              <w:tblW w:type="pct" w:w="5000"/>
              <w:tblLayout w:type="fixed"/>
              <w:tblLook w:firstRow="1" w:lastRow="0" w:firstColumn="0" w:lastColumn="0" w:noHBand="0" w:noVBand="0" w:val="0020"/>
            </w:tblPr>
            <w:tblGrid>
              <w:gridCol w:w="396"/>
              <w:gridCol w:w="712"/>
              <w:gridCol w:w="1346"/>
              <w:gridCol w:w="792"/>
              <w:gridCol w:w="1425"/>
              <w:gridCol w:w="871"/>
              <w:gridCol w:w="950"/>
              <w:gridCol w:w="1425"/>
            </w:tblGrid>
            <w:tr>
              <w:trPr>
                <w:tblHeader w:val="on"/>
              </w:trPr>
              <w:tc>
                <w:tcPr/>
                <w:p>
                  <w:pPr>
                    <w:pStyle w:val="Compact"/>
                    <w:jc w:val="left"/>
                    <w:jc w:val="center"/>
                  </w:pPr>
                  <w:r>
                    <w:t xml:space="preserve">Item</w:t>
                  </w:r>
                </w:p>
              </w:tc>
              <w:tc>
                <w:tcPr/>
                <w:p>
                  <w:pPr>
                    <w:pStyle w:val="Compact"/>
                    <w:jc w:val="right"/>
                    <w:jc w:val="center"/>
                  </w:pPr>
                  <w:r>
                    <w:t xml:space="preserve">InfitMSQ</w:t>
                  </w:r>
                </w:p>
              </w:tc>
              <w:tc>
                <w:tcPr/>
                <w:p>
                  <w:pPr>
                    <w:pStyle w:val="Compact"/>
                    <w:jc w:val="left"/>
                    <w:jc w:val="center"/>
                  </w:pPr>
                  <w:r>
                    <w:t xml:space="preserve">Infit thresholds</w:t>
                  </w:r>
                </w:p>
              </w:tc>
              <w:tc>
                <w:tcPr/>
                <w:p>
                  <w:pPr>
                    <w:pStyle w:val="Compact"/>
                    <w:jc w:val="right"/>
                    <w:jc w:val="center"/>
                  </w:pPr>
                  <w:r>
                    <w:t xml:space="preserve">OutfitMSQ</w:t>
                  </w:r>
                </w:p>
              </w:tc>
              <w:tc>
                <w:tcPr/>
                <w:p>
                  <w:pPr>
                    <w:pStyle w:val="Compact"/>
                    <w:jc w:val="left"/>
                    <w:jc w:val="center"/>
                  </w:pPr>
                  <w:r>
                    <w:t xml:space="preserve">Outfit thresholds</w:t>
                  </w:r>
                </w:p>
              </w:tc>
              <w:tc>
                <w:tcPr/>
                <w:p>
                  <w:pPr>
                    <w:pStyle w:val="Compact"/>
                    <w:jc w:val="left"/>
                    <w:jc w:val="center"/>
                  </w:pPr>
                  <w:r>
                    <w:t xml:space="preserve">Infit diff</w:t>
                  </w:r>
                </w:p>
              </w:tc>
              <w:tc>
                <w:tcPr/>
                <w:p>
                  <w:pPr>
                    <w:pStyle w:val="Compact"/>
                    <w:jc w:val="left"/>
                    <w:jc w:val="center"/>
                  </w:pPr>
                  <w:r>
                    <w:t xml:space="preserve">Outfit diff</w:t>
                  </w:r>
                </w:p>
              </w:tc>
              <w:tc>
                <w:tcPr/>
                <w:p>
                  <w:pPr>
                    <w:pStyle w:val="Compact"/>
                    <w:jc w:val="right"/>
                    <w:jc w:val="center"/>
                  </w:pPr>
                  <w:r>
                    <w:t xml:space="preserve">Relative location</w:t>
                  </w:r>
                </w:p>
              </w:tc>
            </w:tr>
            <w:tr>
              <w:tc>
                <w:tcPr/>
                <w:p>
                  <w:pPr>
                    <w:pStyle w:val="Compact"/>
                    <w:jc w:val="left"/>
                    <w:jc w:val="center"/>
                  </w:pPr>
                  <w:r>
                    <w:t xml:space="preserve">V1</w:t>
                  </w:r>
                </w:p>
              </w:tc>
              <w:tc>
                <w:tcPr/>
                <w:p>
                  <w:pPr>
                    <w:pStyle w:val="Compact"/>
                    <w:jc w:val="right"/>
                    <w:jc w:val="center"/>
                  </w:pPr>
                  <w:r>
                    <w:t xml:space="preserve">1.017</w:t>
                  </w:r>
                </w:p>
              </w:tc>
              <w:tc>
                <w:tcPr/>
                <w:p>
                  <w:pPr>
                    <w:pStyle w:val="Compact"/>
                    <w:jc w:val="left"/>
                    <w:jc w:val="center"/>
                  </w:pPr>
                  <w:r>
                    <w:t xml:space="preserve">[0.853, 1.167]</w:t>
                  </w:r>
                </w:p>
              </w:tc>
              <w:tc>
                <w:tcPr/>
                <w:p>
                  <w:pPr>
                    <w:pStyle w:val="Compact"/>
                    <w:jc w:val="right"/>
                    <w:jc w:val="center"/>
                  </w:pPr>
                  <w:r>
                    <w:t xml:space="preserve">1.061</w:t>
                  </w:r>
                </w:p>
              </w:tc>
              <w:tc>
                <w:tcPr/>
                <w:p>
                  <w:pPr>
                    <w:pStyle w:val="Compact"/>
                    <w:jc w:val="left"/>
                    <w:jc w:val="center"/>
                  </w:pPr>
                  <w:r>
                    <w:t xml:space="preserve">[0.599, 1.511]</w:t>
                  </w:r>
                </w:p>
              </w:tc>
              <w:tc>
                <w:tcPr/>
                <w:p>
                  <w:pPr>
                    <w:pStyle w:val="Compact"/>
                    <w:jc w:val="left"/>
                    <w:jc w:val="center"/>
                  </w:pPr>
                  <w:r>
                    <w:t xml:space="preserve">no misfit</w:t>
                  </w:r>
                </w:p>
              </w:tc>
              <w:tc>
                <w:tcPr/>
                <w:p>
                  <w:pPr>
                    <w:pStyle w:val="Compact"/>
                    <w:jc w:val="left"/>
                    <w:jc w:val="center"/>
                  </w:pPr>
                  <w:r>
                    <w:t xml:space="preserve">no misfit</w:t>
                  </w:r>
                </w:p>
              </w:tc>
              <w:tc>
                <w:tcPr/>
                <w:p>
                  <w:pPr>
                    <w:pStyle w:val="Compact"/>
                    <w:jc w:val="right"/>
                    <w:jc w:val="center"/>
                  </w:pPr>
                  <w:r>
                    <w:t xml:space="preserve">-1.55</w:t>
                  </w:r>
                </w:p>
              </w:tc>
            </w:tr>
            <w:tr>
              <w:tc>
                <w:tcPr/>
                <w:p>
                  <w:pPr>
                    <w:pStyle w:val="Compact"/>
                    <w:jc w:val="left"/>
                    <w:jc w:val="center"/>
                  </w:pPr>
                  <w:r>
                    <w:t xml:space="preserve">V11</w:t>
                  </w:r>
                </w:p>
              </w:tc>
              <w:tc>
                <w:tcPr/>
                <w:p>
                  <w:pPr>
                    <w:pStyle w:val="Compact"/>
                    <w:jc w:val="right"/>
                    <w:jc w:val="center"/>
                  </w:pPr>
                  <w:r>
                    <w:t xml:space="preserve">1.000</w:t>
                  </w:r>
                </w:p>
              </w:tc>
              <w:tc>
                <w:tcPr/>
                <w:p>
                  <w:pPr>
                    <w:pStyle w:val="Compact"/>
                    <w:jc w:val="left"/>
                    <w:jc w:val="center"/>
                  </w:pPr>
                  <w:r>
                    <w:t xml:space="preserve">[0.777, 1.186]</w:t>
                  </w:r>
                </w:p>
              </w:tc>
              <w:tc>
                <w:tcPr/>
                <w:p>
                  <w:pPr>
                    <w:pStyle w:val="Compact"/>
                    <w:jc w:val="right"/>
                    <w:jc w:val="center"/>
                  </w:pPr>
                  <w:r>
                    <w:t xml:space="preserve">1.032</w:t>
                  </w:r>
                </w:p>
              </w:tc>
              <w:tc>
                <w:tcPr/>
                <w:p>
                  <w:pPr>
                    <w:pStyle w:val="Compact"/>
                    <w:jc w:val="left"/>
                    <w:jc w:val="center"/>
                  </w:pPr>
                  <w:r>
                    <w:t xml:space="preserve">[0.753, 1.333]</w:t>
                  </w:r>
                </w:p>
              </w:tc>
              <w:tc>
                <w:tcPr/>
                <w:p>
                  <w:pPr>
                    <w:pStyle w:val="Compact"/>
                    <w:jc w:val="left"/>
                    <w:jc w:val="center"/>
                  </w:pPr>
                  <w:r>
                    <w:t xml:space="preserve">no misfit</w:t>
                  </w:r>
                </w:p>
              </w:tc>
              <w:tc>
                <w:tcPr/>
                <w:p>
                  <w:pPr>
                    <w:pStyle w:val="Compact"/>
                    <w:jc w:val="left"/>
                    <w:jc w:val="center"/>
                  </w:pPr>
                  <w:r>
                    <w:t xml:space="preserve">no misfit</w:t>
                  </w:r>
                </w:p>
              </w:tc>
              <w:tc>
                <w:tcPr/>
                <w:p>
                  <w:pPr>
                    <w:pStyle w:val="Compact"/>
                    <w:jc w:val="right"/>
                    <w:jc w:val="center"/>
                  </w:pPr>
                  <w:r>
                    <w:t xml:space="preserve">-0.84</w:t>
                  </w:r>
                </w:p>
              </w:tc>
            </w:tr>
            <w:tr>
              <w:tc>
                <w:tcPr/>
                <w:p>
                  <w:pPr>
                    <w:pStyle w:val="Compact"/>
                    <w:jc w:val="left"/>
                    <w:jc w:val="center"/>
                  </w:pPr>
                  <w:r>
                    <w:t xml:space="preserve">V3</w:t>
                  </w:r>
                </w:p>
              </w:tc>
              <w:tc>
                <w:tcPr/>
                <w:p>
                  <w:pPr>
                    <w:pStyle w:val="Compact"/>
                    <w:jc w:val="right"/>
                    <w:jc w:val="center"/>
                  </w:pPr>
                  <w:r>
                    <w:t xml:space="preserve">1.022</w:t>
                  </w:r>
                </w:p>
              </w:tc>
              <w:tc>
                <w:tcPr/>
                <w:p>
                  <w:pPr>
                    <w:pStyle w:val="Compact"/>
                    <w:jc w:val="left"/>
                    <w:jc w:val="center"/>
                  </w:pPr>
                  <w:r>
                    <w:t xml:space="preserve">[0.902, 1.099]</w:t>
                  </w:r>
                </w:p>
              </w:tc>
              <w:tc>
                <w:tcPr/>
                <w:p>
                  <w:pPr>
                    <w:pStyle w:val="Compact"/>
                    <w:jc w:val="right"/>
                    <w:jc w:val="center"/>
                  </w:pPr>
                  <w:r>
                    <w:t xml:space="preserve">1.050</w:t>
                  </w:r>
                </w:p>
              </w:tc>
              <w:tc>
                <w:tcPr/>
                <w:p>
                  <w:pPr>
                    <w:pStyle w:val="Compact"/>
                    <w:jc w:val="left"/>
                    <w:jc w:val="center"/>
                  </w:pPr>
                  <w:r>
                    <w:t xml:space="preserve">[0.665, 1.399]</w:t>
                  </w:r>
                </w:p>
              </w:tc>
              <w:tc>
                <w:tcPr/>
                <w:p>
                  <w:pPr>
                    <w:pStyle w:val="Compact"/>
                    <w:jc w:val="left"/>
                    <w:jc w:val="center"/>
                  </w:pPr>
                  <w:r>
                    <w:t xml:space="preserve">no misfit</w:t>
                  </w:r>
                </w:p>
              </w:tc>
              <w:tc>
                <w:tcPr/>
                <w:p>
                  <w:pPr>
                    <w:pStyle w:val="Compact"/>
                    <w:jc w:val="left"/>
                    <w:jc w:val="center"/>
                  </w:pPr>
                  <w:r>
                    <w:t xml:space="preserve">no misfit</w:t>
                  </w:r>
                </w:p>
              </w:tc>
              <w:tc>
                <w:tcPr/>
                <w:p>
                  <w:pPr>
                    <w:pStyle w:val="Compact"/>
                    <w:jc w:val="right"/>
                    <w:jc w:val="center"/>
                  </w:pPr>
                  <w:r>
                    <w:t xml:space="preserve">0.28</w:t>
                  </w:r>
                </w:p>
              </w:tc>
            </w:tr>
            <w:tr>
              <w:tc>
                <w:tcPr/>
                <w:p>
                  <w:pPr>
                    <w:pStyle w:val="Compact"/>
                    <w:jc w:val="left"/>
                    <w:jc w:val="center"/>
                  </w:pPr>
                  <w:r>
                    <w:t xml:space="preserve">V12</w:t>
                  </w:r>
                </w:p>
              </w:tc>
              <w:tc>
                <w:tcPr/>
                <w:p>
                  <w:pPr>
                    <w:pStyle w:val="Compact"/>
                    <w:jc w:val="right"/>
                    <w:jc w:val="center"/>
                  </w:pPr>
                  <w:r>
                    <w:t xml:space="preserve">0.966</w:t>
                  </w:r>
                </w:p>
              </w:tc>
              <w:tc>
                <w:tcPr/>
                <w:p>
                  <w:pPr>
                    <w:pStyle w:val="Compact"/>
                    <w:jc w:val="left"/>
                    <w:jc w:val="center"/>
                  </w:pPr>
                  <w:r>
                    <w:t xml:space="preserve">[0.807, 1.212]</w:t>
                  </w:r>
                </w:p>
              </w:tc>
              <w:tc>
                <w:tcPr/>
                <w:p>
                  <w:pPr>
                    <w:pStyle w:val="Compact"/>
                    <w:jc w:val="right"/>
                    <w:jc w:val="center"/>
                  </w:pPr>
                  <w:r>
                    <w:t xml:space="preserve">0.793</w:t>
                  </w:r>
                </w:p>
              </w:tc>
              <w:tc>
                <w:tcPr/>
                <w:p>
                  <w:pPr>
                    <w:pStyle w:val="Compact"/>
                    <w:jc w:val="left"/>
                    <w:jc w:val="center"/>
                  </w:pPr>
                  <w:r>
                    <w:t xml:space="preserve">[0.737, 1.373]</w:t>
                  </w:r>
                </w:p>
              </w:tc>
              <w:tc>
                <w:tcPr/>
                <w:p>
                  <w:pPr>
                    <w:pStyle w:val="Compact"/>
                    <w:jc w:val="left"/>
                    <w:jc w:val="center"/>
                  </w:pPr>
                  <w:r>
                    <w:t xml:space="preserve">no misfit</w:t>
                  </w:r>
                </w:p>
              </w:tc>
              <w:tc>
                <w:tcPr/>
                <w:p>
                  <w:pPr>
                    <w:pStyle w:val="Compact"/>
                    <w:jc w:val="left"/>
                    <w:jc w:val="center"/>
                  </w:pPr>
                  <w:r>
                    <w:t xml:space="preserve">no misfit</w:t>
                  </w:r>
                </w:p>
              </w:tc>
              <w:tc>
                <w:tcPr/>
                <w:p>
                  <w:pPr>
                    <w:pStyle w:val="Compact"/>
                    <w:jc w:val="right"/>
                    <w:jc w:val="center"/>
                  </w:pPr>
                  <w:r>
                    <w:t xml:space="preserve">1.40</w:t>
                  </w:r>
                </w:p>
              </w:tc>
            </w:tr>
          </w:tbl>
          <w:bookmarkEnd w:id="24"/>
          <w:p/>
        </w:tc>
      </w:tr>
    </w:tbl>
    <w:bookmarkStart w:id="29" w:name="cell-fig-itemfit1"/>
    <w:tbl>
      <w:tblPr>
        <w:tblStyle w:val="Table"/>
        <w:tblW w:type="pct" w:w="5000"/>
        <w:tblLayout w:type="fixed"/>
        <w:tblLook w:firstRow="0" w:lastRow="0" w:firstColumn="0" w:lastColumn="0" w:noHBand="0" w:noVBand="0" w:val="0000"/>
      </w:tblPr>
      <w:tblGrid>
        <w:gridCol w:w="7920"/>
      </w:tblGrid>
      <w:tr>
        <w:tc>
          <w:tcPr/>
          <w:bookmarkStart w:id="28" w:name="fig-itemfit1"/>
          <w:p>
            <w:pPr>
              <w:jc w:val="center"/>
            </w:pPr>
            <w:pPr>
              <w:jc w:val="start"/>
              <w:spacing w:before="200"/>
              <w:pStyle w:val="ImageCaption"/>
            </w:pPr>
            <w:r>
              <w:t xml:space="preserve">Figure 1: Distribution of simulation-based item fit and estimated item fit from observed data</w:t>
            </w:r>
          </w:p>
          <w:p>
            <w:pPr>
              <w:pStyle w:val="Compact"/>
              <w:jc w:val="center"/>
            </w:pPr>
            <w:r>
              <w:drawing>
                <wp:inline>
                  <wp:extent cx="5943600" cy="5943600"/>
                  <wp:effectExtent b="0" l="0" r="0" t="0"/>
                  <wp:docPr descr="" title="" id="26" name="Picture"/>
                  <a:graphic>
                    <a:graphicData uri="http://schemas.openxmlformats.org/drawingml/2006/picture">
                      <pic:pic>
                        <pic:nvPicPr>
                          <pic:cNvPr descr="index_files/figure-docx/fig-itemfit1-1.png" id="27" name="Picture"/>
                          <pic:cNvPicPr>
                            <a:picLocks noChangeArrowheads="1" noChangeAspect="1"/>
                          </pic:cNvPicPr>
                        </pic:nvPicPr>
                        <pic:blipFill>
                          <a:blip r:embed="rId25"/>
                          <a:stretch>
                            <a:fillRect/>
                          </a:stretch>
                        </pic:blipFill>
                        <pic:spPr bwMode="auto">
                          <a:xfrm>
                            <a:off x="0" y="0"/>
                            <a:ext cx="5943600" cy="5943600"/>
                          </a:xfrm>
                          <a:prstGeom prst="rect">
                            <a:avLst/>
                          </a:prstGeom>
                          <a:noFill/>
                          <a:ln w="9525">
                            <a:noFill/>
                            <a:headEnd/>
                            <a:tailEnd/>
                          </a:ln>
                        </pic:spPr>
                      </pic:pic>
                    </a:graphicData>
                  </a:graphic>
                </wp:inline>
              </w:drawing>
            </w:r>
          </w:p>
          <w:bookmarkEnd w:id="28"/>
        </w:tc>
      </w:tr>
    </w:tbl>
    <w:bookmarkEnd w:id="29"/>
    <w:bookmarkStart w:id="63" w:name="results"/>
    <w:p>
      <w:pPr>
        <w:pStyle w:val="Heading2"/>
      </w:pPr>
      <w:r>
        <w:t xml:space="preserve">Results</w:t>
      </w:r>
    </w:p>
    <w:p>
      <w:pPr>
        <w:pStyle w:val="FirstParagraph"/>
      </w:pPr>
      <w:r>
        <w:t xml:space="preserve">Figures show the percent of simulation runs that have identified an item as misfitting. Items with more than 5% are colored in light red. A number representing the detection rate is shown adjacent to the bar representing the misfitting item. The figure grid columns are labeled with the number of iterations used by</w:t>
      </w:r>
      <w:r>
        <w:t xml:space="preserve"> </w:t>
      </w:r>
      <w:r>
        <w:rPr>
          <w:rStyle w:val="VerbatimChar"/>
        </w:rPr>
        <w:t xml:space="preserve">RIgetfit()</w:t>
      </w:r>
      <w:r>
        <w:t xml:space="preserve"> </w:t>
      </w:r>
      <w:r>
        <w:t xml:space="preserve">to determine cutoff values and grid rows are labeled with the sample size.</w:t>
      </w:r>
    </w:p>
    <w:bookmarkStart w:id="45" w:name="infit"/>
    <w:p>
      <w:pPr>
        <w:pStyle w:val="Heading3"/>
      </w:pPr>
      <w:r>
        <w:t xml:space="preserve">Infit</w:t>
      </w:r>
    </w:p>
    <w:bookmarkStart w:id="34" w:name="cell-fig-ifb0"/>
    <w:tbl>
      <w:tblPr>
        <w:tblStyle w:val="Table"/>
        <w:tblW w:type="pct" w:w="5000"/>
        <w:tblLayout w:type="fixed"/>
        <w:tblLook w:firstRow="0" w:lastRow="0" w:firstColumn="0" w:lastColumn="0" w:noHBand="0" w:noVBand="0" w:val="0000"/>
      </w:tblPr>
      <w:tblGrid>
        <w:gridCol w:w="7920"/>
      </w:tblGrid>
      <w:tr>
        <w:tc>
          <w:tcPr/>
          <w:bookmarkStart w:id="33" w:name="fig-ifb0"/>
          <w:p>
            <w:pPr>
              <w:jc w:val="center"/>
            </w:pPr>
            <w:pPr>
              <w:jc w:val="start"/>
              <w:spacing w:before="200"/>
              <w:pStyle w:val="ImageCaption"/>
            </w:pPr>
            <w:r>
              <w:t xml:space="preserve">Figure 2: Conditional infit detection rate (misfit item at 0 logits)</w:t>
            </w:r>
          </w:p>
          <w:p>
            <w:pPr>
              <w:pStyle w:val="Compact"/>
              <w:jc w:val="center"/>
            </w:pPr>
            <w:r>
              <w:drawing>
                <wp:inline>
                  <wp:extent cx="5943600" cy="4574010"/>
                  <wp:effectExtent b="0" l="0" r="0" t="0"/>
                  <wp:docPr descr="" title="" id="31" name="Picture"/>
                  <a:graphic>
                    <a:graphicData uri="http://schemas.openxmlformats.org/drawingml/2006/picture">
                      <pic:pic>
                        <pic:nvPicPr>
                          <pic:cNvPr descr="index_files/figure-docx/fig-ifb0-1.png" id="32" name="Picture"/>
                          <pic:cNvPicPr>
                            <a:picLocks noChangeArrowheads="1" noChangeAspect="1"/>
                          </pic:cNvPicPr>
                        </pic:nvPicPr>
                        <pic:blipFill>
                          <a:blip r:embed="rId30"/>
                          <a:stretch>
                            <a:fillRect/>
                          </a:stretch>
                        </pic:blipFill>
                        <pic:spPr bwMode="auto">
                          <a:xfrm>
                            <a:off x="0" y="0"/>
                            <a:ext cx="5943600" cy="4574010"/>
                          </a:xfrm>
                          <a:prstGeom prst="rect">
                            <a:avLst/>
                          </a:prstGeom>
                          <a:noFill/>
                          <a:ln w="9525">
                            <a:noFill/>
                            <a:headEnd/>
                            <a:tailEnd/>
                          </a:ln>
                        </pic:spPr>
                      </pic:pic>
                    </a:graphicData>
                  </a:graphic>
                </wp:inline>
              </w:drawing>
            </w:r>
          </w:p>
          <w:bookmarkEnd w:id="33"/>
        </w:tc>
      </w:tr>
    </w:tbl>
    <w:bookmarkEnd w:id="34"/>
    <w:p>
      <w:pPr>
        <w:pStyle w:val="BodyText"/>
      </w:pPr>
      <w:hyperlink w:anchor="fig-ifb0">
        <w:r>
          <w:rPr>
            <w:rStyle w:val="Hyperlink"/>
          </w:rPr>
          <w:t xml:space="preserve">Figure 2</w:t>
        </w:r>
      </w:hyperlink>
      <w:r>
        <w:t xml:space="preserve"> </w:t>
      </w:r>
      <w:r>
        <w:t xml:space="preserve">shows the detection rate when the misfitting item is located at the sample mean. The detection rate is highest for the condition with 100 iterations with sample sizes 150 and 250, but it also shows higher levels of false positives when the sample size increases to 500 or more.</w:t>
      </w:r>
    </w:p>
    <w:bookmarkStart w:id="39" w:name="cell-fig-ifb1"/>
    <w:tbl>
      <w:tblPr>
        <w:tblStyle w:val="Table"/>
        <w:tblW w:type="pct" w:w="5000"/>
        <w:tblLayout w:type="fixed"/>
        <w:tblLook w:firstRow="0" w:lastRow="0" w:firstColumn="0" w:lastColumn="0" w:noHBand="0" w:noVBand="0" w:val="0000"/>
      </w:tblPr>
      <w:tblGrid>
        <w:gridCol w:w="7920"/>
      </w:tblGrid>
      <w:tr>
        <w:tc>
          <w:tcPr/>
          <w:bookmarkStart w:id="38" w:name="fig-ifb1"/>
          <w:p>
            <w:pPr>
              <w:jc w:val="center"/>
            </w:pPr>
            <w:pPr>
              <w:jc w:val="start"/>
              <w:spacing w:before="200"/>
              <w:pStyle w:val="ImageCaption"/>
            </w:pPr>
            <w:r>
              <w:t xml:space="preserve">Figure 3: Conditional infit detection rate (misfit item at -1 logits)</w:t>
            </w:r>
          </w:p>
          <w:p>
            <w:pPr>
              <w:pStyle w:val="Compact"/>
              <w:jc w:val="center"/>
            </w:pPr>
            <w:r>
              <w:drawing>
                <wp:inline>
                  <wp:extent cx="5943600" cy="4574010"/>
                  <wp:effectExtent b="0" l="0" r="0" t="0"/>
                  <wp:docPr descr="" title="" id="36" name="Picture"/>
                  <a:graphic>
                    <a:graphicData uri="http://schemas.openxmlformats.org/drawingml/2006/picture">
                      <pic:pic>
                        <pic:nvPicPr>
                          <pic:cNvPr descr="index_files/figure-docx/fig-ifb1-1.png" id="37" name="Picture"/>
                          <pic:cNvPicPr>
                            <a:picLocks noChangeArrowheads="1" noChangeAspect="1"/>
                          </pic:cNvPicPr>
                        </pic:nvPicPr>
                        <pic:blipFill>
                          <a:blip r:embed="rId35"/>
                          <a:stretch>
                            <a:fillRect/>
                          </a:stretch>
                        </pic:blipFill>
                        <pic:spPr bwMode="auto">
                          <a:xfrm>
                            <a:off x="0" y="0"/>
                            <a:ext cx="5943600" cy="4574010"/>
                          </a:xfrm>
                          <a:prstGeom prst="rect">
                            <a:avLst/>
                          </a:prstGeom>
                          <a:noFill/>
                          <a:ln w="9525">
                            <a:noFill/>
                            <a:headEnd/>
                            <a:tailEnd/>
                          </a:ln>
                        </pic:spPr>
                      </pic:pic>
                    </a:graphicData>
                  </a:graphic>
                </wp:inline>
              </w:drawing>
            </w:r>
          </w:p>
          <w:bookmarkEnd w:id="38"/>
        </w:tc>
      </w:tr>
    </w:tbl>
    <w:bookmarkEnd w:id="39"/>
    <w:p>
      <w:pPr>
        <w:pStyle w:val="BodyText"/>
      </w:pPr>
      <w:r>
        <w:t xml:space="preserve">When the misfitting item is offset in targeting by -1 logits compared to the sample mean (see</w:t>
      </w:r>
      <w:r>
        <w:t xml:space="preserve"> </w:t>
      </w:r>
      <w:hyperlink w:anchor="fig-ifb1">
        <w:r>
          <w:rPr>
            <w:rStyle w:val="Hyperlink"/>
          </w:rPr>
          <w:t xml:space="preserve">Figure 3</w:t>
        </w:r>
      </w:hyperlink>
      <w:r>
        <w:t xml:space="preserve">), the smallest sample size has less power to detect misfit compared to the on-target misfitting item. There are lower rates of false positives across all sample sizes and iterations.</w:t>
      </w:r>
    </w:p>
    <w:bookmarkStart w:id="44" w:name="cell-fig-ifb2"/>
    <w:tbl>
      <w:tblPr>
        <w:tblStyle w:val="Table"/>
        <w:tblW w:type="pct" w:w="5000"/>
        <w:tblLayout w:type="fixed"/>
        <w:tblLook w:firstRow="0" w:lastRow="0" w:firstColumn="0" w:lastColumn="0" w:noHBand="0" w:noVBand="0" w:val="0000"/>
      </w:tblPr>
      <w:tblGrid>
        <w:gridCol w:w="7920"/>
      </w:tblGrid>
      <w:tr>
        <w:tc>
          <w:tcPr/>
          <w:bookmarkStart w:id="43" w:name="fig-ifb2"/>
          <w:p>
            <w:pPr>
              <w:jc w:val="center"/>
            </w:pPr>
            <w:pPr>
              <w:jc w:val="start"/>
              <w:spacing w:before="200"/>
              <w:pStyle w:val="ImageCaption"/>
            </w:pPr>
            <w:r>
              <w:t xml:space="preserve">Figure 4: Conditional infit detection rate (misfit item at -2 logits)</w:t>
            </w:r>
          </w:p>
          <w:p>
            <w:pPr>
              <w:pStyle w:val="Compact"/>
              <w:jc w:val="center"/>
            </w:pPr>
            <w:r>
              <w:drawing>
                <wp:inline>
                  <wp:extent cx="5943600" cy="4574010"/>
                  <wp:effectExtent b="0" l="0" r="0" t="0"/>
                  <wp:docPr descr="" title="" id="41" name="Picture"/>
                  <a:graphic>
                    <a:graphicData uri="http://schemas.openxmlformats.org/drawingml/2006/picture">
                      <pic:pic>
                        <pic:nvPicPr>
                          <pic:cNvPr descr="index_files/figure-docx/fig-ifb2-1.png" id="42" name="Picture"/>
                          <pic:cNvPicPr>
                            <a:picLocks noChangeArrowheads="1" noChangeAspect="1"/>
                          </pic:cNvPicPr>
                        </pic:nvPicPr>
                        <pic:blipFill>
                          <a:blip r:embed="rId40"/>
                          <a:stretch>
                            <a:fillRect/>
                          </a:stretch>
                        </pic:blipFill>
                        <pic:spPr bwMode="auto">
                          <a:xfrm>
                            <a:off x="0" y="0"/>
                            <a:ext cx="5943600" cy="4574010"/>
                          </a:xfrm>
                          <a:prstGeom prst="rect">
                            <a:avLst/>
                          </a:prstGeom>
                          <a:noFill/>
                          <a:ln w="9525">
                            <a:noFill/>
                            <a:headEnd/>
                            <a:tailEnd/>
                          </a:ln>
                        </pic:spPr>
                      </pic:pic>
                    </a:graphicData>
                  </a:graphic>
                </wp:inline>
              </w:drawing>
            </w:r>
          </w:p>
          <w:bookmarkEnd w:id="43"/>
        </w:tc>
      </w:tr>
    </w:tbl>
    <w:bookmarkEnd w:id="44"/>
    <w:p>
      <w:pPr>
        <w:pStyle w:val="BodyText"/>
      </w:pPr>
      <w:r>
        <w:t xml:space="preserve">Finally, when the misfitting item is located at -2 logits compared to the sample mean (see</w:t>
      </w:r>
      <w:r>
        <w:t xml:space="preserve"> </w:t>
      </w:r>
      <w:hyperlink w:anchor="fig-ifb2">
        <w:r>
          <w:rPr>
            <w:rStyle w:val="Hyperlink"/>
          </w:rPr>
          <w:t xml:space="preserve">Figure 4</w:t>
        </w:r>
      </w:hyperlink>
      <w:r>
        <w:t xml:space="preserve">), we see a stronger reduction in power for sample sizes 150 and 250. No false positives are identified.</w:t>
      </w:r>
    </w:p>
    <w:bookmarkEnd w:id="45"/>
    <w:bookmarkStart w:id="61" w:name="outfit"/>
    <w:p>
      <w:pPr>
        <w:pStyle w:val="Heading3"/>
      </w:pPr>
      <w:r>
        <w:t xml:space="preserve">Outfit</w:t>
      </w:r>
    </w:p>
    <w:bookmarkStart w:id="50" w:name="cell-fig-ifb0out"/>
    <w:tbl>
      <w:tblPr>
        <w:tblStyle w:val="Table"/>
        <w:tblW w:type="pct" w:w="5000"/>
        <w:tblLayout w:type="fixed"/>
        <w:tblLook w:firstRow="0" w:lastRow="0" w:firstColumn="0" w:lastColumn="0" w:noHBand="0" w:noVBand="0" w:val="0000"/>
      </w:tblPr>
      <w:tblGrid>
        <w:gridCol w:w="7920"/>
      </w:tblGrid>
      <w:tr>
        <w:tc>
          <w:tcPr/>
          <w:bookmarkStart w:id="49" w:name="fig-ifb0out"/>
          <w:p>
            <w:pPr>
              <w:jc w:val="center"/>
            </w:pPr>
            <w:pPr>
              <w:jc w:val="start"/>
              <w:spacing w:before="200"/>
              <w:pStyle w:val="ImageCaption"/>
            </w:pPr>
            <w:r>
              <w:t xml:space="preserve">Figure 5: Conditional outfit detection rate (misfit item at 0 logits)</w:t>
            </w:r>
          </w:p>
          <w:p>
            <w:pPr>
              <w:pStyle w:val="Compact"/>
              <w:jc w:val="center"/>
            </w:pPr>
            <w:r>
              <w:drawing>
                <wp:inline>
                  <wp:extent cx="5943600" cy="4574010"/>
                  <wp:effectExtent b="0" l="0" r="0" t="0"/>
                  <wp:docPr descr="" title="" id="47" name="Picture"/>
                  <a:graphic>
                    <a:graphicData uri="http://schemas.openxmlformats.org/drawingml/2006/picture">
                      <pic:pic>
                        <pic:nvPicPr>
                          <pic:cNvPr descr="index_files/figure-docx/fig-ifb0out-1.png" id="48" name="Picture"/>
                          <pic:cNvPicPr>
                            <a:picLocks noChangeArrowheads="1" noChangeAspect="1"/>
                          </pic:cNvPicPr>
                        </pic:nvPicPr>
                        <pic:blipFill>
                          <a:blip r:embed="rId46"/>
                          <a:stretch>
                            <a:fillRect/>
                          </a:stretch>
                        </pic:blipFill>
                        <pic:spPr bwMode="auto">
                          <a:xfrm>
                            <a:off x="0" y="0"/>
                            <a:ext cx="5943600" cy="4574010"/>
                          </a:xfrm>
                          <a:prstGeom prst="rect">
                            <a:avLst/>
                          </a:prstGeom>
                          <a:noFill/>
                          <a:ln w="9525">
                            <a:noFill/>
                            <a:headEnd/>
                            <a:tailEnd/>
                          </a:ln>
                        </pic:spPr>
                      </pic:pic>
                    </a:graphicData>
                  </a:graphic>
                </wp:inline>
              </w:drawing>
            </w:r>
          </w:p>
          <w:bookmarkEnd w:id="49"/>
        </w:tc>
      </w:tr>
    </w:tbl>
    <w:bookmarkEnd w:id="50"/>
    <w:bookmarkStart w:id="55" w:name="cell-fig-ifb1out"/>
    <w:tbl>
      <w:tblPr>
        <w:tblStyle w:val="Table"/>
        <w:tblW w:type="pct" w:w="5000"/>
        <w:tblLayout w:type="fixed"/>
        <w:tblLook w:firstRow="0" w:lastRow="0" w:firstColumn="0" w:lastColumn="0" w:noHBand="0" w:noVBand="0" w:val="0000"/>
      </w:tblPr>
      <w:tblGrid>
        <w:gridCol w:w="7920"/>
      </w:tblGrid>
      <w:tr>
        <w:tc>
          <w:tcPr/>
          <w:bookmarkStart w:id="54" w:name="fig-ifb1out"/>
          <w:p>
            <w:pPr>
              <w:jc w:val="center"/>
            </w:pPr>
            <w:pPr>
              <w:jc w:val="start"/>
              <w:spacing w:before="200"/>
              <w:pStyle w:val="ImageCaption"/>
            </w:pPr>
            <w:r>
              <w:t xml:space="preserve">Figure 6: Conditional outfit detection rate (misfit item at -1 logits)</w:t>
            </w:r>
          </w:p>
          <w:p>
            <w:pPr>
              <w:pStyle w:val="Compact"/>
              <w:jc w:val="center"/>
            </w:pPr>
            <w:r>
              <w:drawing>
                <wp:inline>
                  <wp:extent cx="5943600" cy="4574010"/>
                  <wp:effectExtent b="0" l="0" r="0" t="0"/>
                  <wp:docPr descr="" title="" id="52" name="Picture"/>
                  <a:graphic>
                    <a:graphicData uri="http://schemas.openxmlformats.org/drawingml/2006/picture">
                      <pic:pic>
                        <pic:nvPicPr>
                          <pic:cNvPr descr="index_files/figure-docx/fig-ifb1out-1.png" id="53" name="Picture"/>
                          <pic:cNvPicPr>
                            <a:picLocks noChangeArrowheads="1" noChangeAspect="1"/>
                          </pic:cNvPicPr>
                        </pic:nvPicPr>
                        <pic:blipFill>
                          <a:blip r:embed="rId51"/>
                          <a:stretch>
                            <a:fillRect/>
                          </a:stretch>
                        </pic:blipFill>
                        <pic:spPr bwMode="auto">
                          <a:xfrm>
                            <a:off x="0" y="0"/>
                            <a:ext cx="5943600" cy="4574010"/>
                          </a:xfrm>
                          <a:prstGeom prst="rect">
                            <a:avLst/>
                          </a:prstGeom>
                          <a:noFill/>
                          <a:ln w="9525">
                            <a:noFill/>
                            <a:headEnd/>
                            <a:tailEnd/>
                          </a:ln>
                        </pic:spPr>
                      </pic:pic>
                    </a:graphicData>
                  </a:graphic>
                </wp:inline>
              </w:drawing>
            </w:r>
          </w:p>
          <w:bookmarkEnd w:id="54"/>
        </w:tc>
      </w:tr>
    </w:tbl>
    <w:bookmarkEnd w:id="55"/>
    <w:bookmarkStart w:id="60" w:name="cell-fig-ifb2out"/>
    <w:tbl>
      <w:tblPr>
        <w:tblStyle w:val="Table"/>
        <w:tblW w:type="pct" w:w="5000"/>
        <w:tblLayout w:type="fixed"/>
        <w:tblLook w:firstRow="0" w:lastRow="0" w:firstColumn="0" w:lastColumn="0" w:noHBand="0" w:noVBand="0" w:val="0000"/>
      </w:tblPr>
      <w:tblGrid>
        <w:gridCol w:w="7920"/>
      </w:tblGrid>
      <w:tr>
        <w:tc>
          <w:tcPr/>
          <w:bookmarkStart w:id="59" w:name="fig-ifb2out"/>
          <w:p>
            <w:pPr>
              <w:jc w:val="center"/>
            </w:pPr>
            <w:pPr>
              <w:jc w:val="start"/>
              <w:spacing w:before="200"/>
              <w:pStyle w:val="ImageCaption"/>
            </w:pPr>
            <w:r>
              <w:t xml:space="preserve">Figure 7: Conditional outfit detection rate (misfit item at -2 logits)</w:t>
            </w:r>
          </w:p>
          <w:p>
            <w:pPr>
              <w:pStyle w:val="Compact"/>
              <w:jc w:val="center"/>
            </w:pPr>
            <w:r>
              <w:drawing>
                <wp:inline>
                  <wp:extent cx="5943600" cy="4574010"/>
                  <wp:effectExtent b="0" l="0" r="0" t="0"/>
                  <wp:docPr descr="" title="" id="57" name="Picture"/>
                  <a:graphic>
                    <a:graphicData uri="http://schemas.openxmlformats.org/drawingml/2006/picture">
                      <pic:pic>
                        <pic:nvPicPr>
                          <pic:cNvPr descr="index_files/figure-docx/fig-ifb2out-1.png" id="58" name="Picture"/>
                          <pic:cNvPicPr>
                            <a:picLocks noChangeArrowheads="1" noChangeAspect="1"/>
                          </pic:cNvPicPr>
                        </pic:nvPicPr>
                        <pic:blipFill>
                          <a:blip r:embed="rId56"/>
                          <a:stretch>
                            <a:fillRect/>
                          </a:stretch>
                        </pic:blipFill>
                        <pic:spPr bwMode="auto">
                          <a:xfrm>
                            <a:off x="0" y="0"/>
                            <a:ext cx="5943600" cy="4574010"/>
                          </a:xfrm>
                          <a:prstGeom prst="rect">
                            <a:avLst/>
                          </a:prstGeom>
                          <a:noFill/>
                          <a:ln w="9525">
                            <a:noFill/>
                            <a:headEnd/>
                            <a:tailEnd/>
                          </a:ln>
                        </pic:spPr>
                      </pic:pic>
                    </a:graphicData>
                  </a:graphic>
                </wp:inline>
              </w:drawing>
            </w:r>
          </w:p>
          <w:bookmarkEnd w:id="59"/>
        </w:tc>
      </w:tr>
    </w:tbl>
    <w:bookmarkEnd w:id="60"/>
    <w:p>
      <w:pPr>
        <w:pStyle w:val="BodyText"/>
      </w:pPr>
      <w:r>
        <w:t xml:space="preserve">As shown in</w:t>
      </w:r>
      <w:r>
        <w:t xml:space="preserve"> </w:t>
      </w:r>
      <w:hyperlink w:anchor="fig-ifb0out">
        <w:r>
          <w:rPr>
            <w:rStyle w:val="Hyperlink"/>
          </w:rPr>
          <w:t xml:space="preserve">Figure 5</w:t>
        </w:r>
      </w:hyperlink>
      <w:r>
        <w:t xml:space="preserve">,</w:t>
      </w:r>
      <w:r>
        <w:t xml:space="preserve"> </w:t>
      </w:r>
      <w:hyperlink w:anchor="fig-ifb1out">
        <w:r>
          <w:rPr>
            <w:rStyle w:val="Hyperlink"/>
          </w:rPr>
          <w:t xml:space="preserve">Figure 6</w:t>
        </w:r>
      </w:hyperlink>
      <w:r>
        <w:t xml:space="preserve">, and</w:t>
      </w:r>
      <w:r>
        <w:t xml:space="preserve"> </w:t>
      </w:r>
      <w:hyperlink w:anchor="fig-ifb2out">
        <w:r>
          <w:rPr>
            <w:rStyle w:val="Hyperlink"/>
          </w:rPr>
          <w:t xml:space="preserve">Figure 7</w:t>
        </w:r>
      </w:hyperlink>
      <w:r>
        <w:t xml:space="preserve">, outfit is performing worse than infit across the board.</w:t>
      </w:r>
    </w:p>
    <w:bookmarkEnd w:id="61"/>
    <w:bookmarkStart w:id="62" w:name="comments"/>
    <w:p>
      <w:pPr>
        <w:pStyle w:val="Heading3"/>
      </w:pPr>
      <w:r>
        <w:t xml:space="preserve">Comments</w:t>
      </w:r>
    </w:p>
    <w:p>
      <w:pPr>
        <w:pStyle w:val="FirstParagraph"/>
      </w:pPr>
      <w:r>
        <w:t xml:space="preserve">Based on these simulation, it is highly recommended to use infit over outfit in assessing item fit. The performance of outfit calls to question whether it is useful at all for detecting item misfit.</w:t>
      </w:r>
    </w:p>
    <w:p>
      <w:pPr>
        <w:pStyle w:val="BodyText"/>
      </w:pPr>
      <w:r>
        <w:t xml:space="preserve">Regarding infit and the use of parametric bootstrapping with the function</w:t>
      </w:r>
      <w:r>
        <w:t xml:space="preserve"> </w:t>
      </w:r>
      <w:r>
        <w:rPr>
          <w:rStyle w:val="VerbatimChar"/>
        </w:rPr>
        <w:t xml:space="preserve">RIgetfit()</w:t>
      </w:r>
      <w:r>
        <w:t xml:space="preserve">, it looks like 100 iterations are to recommend to determine cutoff values when the sample size is 250 or lower, while 200 or 400 iterations reduce the risk for false positives at sample sizes of 500 or larger. False positives are found at sample sizes 500 and 1000 only. The risk for false positives is notably higher when the misfitting item is located at the sample mean compared to when the misfitting item is off-target by -1 logits or more.</w:t>
      </w:r>
    </w:p>
    <w:bookmarkEnd w:id="62"/>
    <w:bookmarkEnd w:id="63"/>
    <w:bookmarkEnd w:id="64"/>
    <w:bookmarkStart w:id="71" w:name="study-2-item-restscore"/>
    <w:p>
      <w:pPr>
        <w:pStyle w:val="Heading1"/>
      </w:pPr>
      <w:r>
        <w:t xml:space="preserve">Study 2: Item-restscore</w:t>
      </w:r>
    </w:p>
    <w:p>
      <w:pPr>
        <w:pStyle w:val="FirstParagraph"/>
      </w:pPr>
      <w:r>
        <w:t xml:space="preserve">Item-restscore is a metric that compares an expected correlation with the observed correlation, using Goodman and Kruskal’s</w:t>
      </w:r>
      <w:r>
        <w:t xml:space="preserve"> </w:t>
      </w:r>
      <m:oMath>
        <m:r>
          <m:t>γ</m:t>
        </m:r>
      </m:oMath>
      <w:r>
        <w:t xml:space="preserve"> </w:t>
      </w:r>
      <w:r>
        <w:t xml:space="preserve">(Goodman &amp; Kruskal, 1954; Kreiner, 2011)</w:t>
      </w:r>
      <w:r>
        <w:t xml:space="preserve">. Lower observed values than expected indicate that an item is underfit to the Rasch model, while higher values indicate overfit. The item-restscore function used in this simulation is from the</w:t>
      </w:r>
      <w:r>
        <w:t xml:space="preserve"> </w:t>
      </w:r>
      <w:r>
        <w:rPr>
          <w:rStyle w:val="VerbatimChar"/>
        </w:rPr>
        <w:t xml:space="preserve">iarm</w:t>
      </w:r>
      <w:r>
        <w:t xml:space="preserve"> </w:t>
      </w:r>
      <w:r>
        <w:t xml:space="preserve">package</w:t>
      </w:r>
      <w:r>
        <w:t xml:space="preserve"> </w:t>
      </w:r>
      <w:r>
        <w:t xml:space="preserve">(Mueller &amp; Santiago, 2022)</w:t>
      </w:r>
      <w:r>
        <w:t xml:space="preserve"> </w:t>
      </w:r>
      <w:r>
        <w:t xml:space="preserve">and outputs Benjamini-Hochberg corrected</w:t>
      </w:r>
      <w:r>
        <w:t xml:space="preserve"> </w:t>
      </w:r>
      <w:r>
        <w:rPr>
          <w:i/>
          <w:iCs/>
        </w:rPr>
        <w:t xml:space="preserve">p</w:t>
      </w:r>
      <w:r>
        <w:t xml:space="preserve">-values</w:t>
      </w:r>
      <w:r>
        <w:t xml:space="preserve"> </w:t>
      </w:r>
      <w:r>
        <w:t xml:space="preserve">(Benjamini &amp; Hochberg, 1995)</w:t>
      </w:r>
      <w:r>
        <w:t xml:space="preserve">, which are used to determine whether the differences between the observed and expected values are statistically significant (using</w:t>
      </w:r>
      <w:r>
        <w:t xml:space="preserve"> </w:t>
      </w:r>
      <w:r>
        <w:rPr>
          <w:i/>
          <w:iCs/>
        </w:rPr>
        <w:t xml:space="preserve">p</w:t>
      </w:r>
      <w:r>
        <w:t xml:space="preserve"> </w:t>
      </w:r>
      <w:r>
        <w:t xml:space="preserve">&lt; .05 as critical value) for each item. The data and procedure in this study follow the same structure as Study 1, with the addition of a smaller sample condition with 100 respondents.</w:t>
      </w:r>
    </w:p>
    <w:bookmarkStart w:id="70" w:name="results-1"/>
    <w:p>
      <w:pPr>
        <w:pStyle w:val="Heading2"/>
      </w:pPr>
      <w:r>
        <w:t xml:space="preserve">Results</w:t>
      </w:r>
    </w:p>
    <w:bookmarkStart w:id="69" w:name="cell-fig-itemrestscore1"/>
    <w:tbl>
      <w:tblPr>
        <w:tblStyle w:val="Table"/>
        <w:tblW w:type="pct" w:w="5000"/>
        <w:tblLayout w:type="fixed"/>
        <w:tblLook w:firstRow="0" w:lastRow="0" w:firstColumn="0" w:lastColumn="0" w:noHBand="0" w:noVBand="0" w:val="0000"/>
      </w:tblPr>
      <w:tblGrid>
        <w:gridCol w:w="7920"/>
      </w:tblGrid>
      <w:tr>
        <w:tc>
          <w:tcPr/>
          <w:bookmarkStart w:id="68" w:name="fig-itemrestscore1"/>
          <w:p>
            <w:pPr>
              <w:jc w:val="center"/>
            </w:pPr>
            <w:pPr>
              <w:jc w:val="start"/>
              <w:spacing w:before="200"/>
              <w:pStyle w:val="ImageCaption"/>
            </w:pPr>
            <w:r>
              <w:t xml:space="preserve">Figure 8: Item-restscore detection rate across targeting and sample size</w:t>
            </w:r>
          </w:p>
          <w:p>
            <w:pPr>
              <w:pStyle w:val="Compact"/>
              <w:jc w:val="center"/>
            </w:pPr>
            <w:r>
              <w:drawing>
                <wp:inline>
                  <wp:extent cx="5943600" cy="5488812"/>
                  <wp:effectExtent b="0" l="0" r="0" t="0"/>
                  <wp:docPr descr="" title="" id="66" name="Picture"/>
                  <a:graphic>
                    <a:graphicData uri="http://schemas.openxmlformats.org/drawingml/2006/picture">
                      <pic:pic>
                        <pic:nvPicPr>
                          <pic:cNvPr descr="index_files/figure-docx/fig-itemrestscore1-1.png" id="67" name="Picture"/>
                          <pic:cNvPicPr>
                            <a:picLocks noChangeArrowheads="1" noChangeAspect="1"/>
                          </pic:cNvPicPr>
                        </pic:nvPicPr>
                        <pic:blipFill>
                          <a:blip r:embed="rId65"/>
                          <a:stretch>
                            <a:fillRect/>
                          </a:stretch>
                        </pic:blipFill>
                        <pic:spPr bwMode="auto">
                          <a:xfrm>
                            <a:off x="0" y="0"/>
                            <a:ext cx="5943600" cy="5488812"/>
                          </a:xfrm>
                          <a:prstGeom prst="rect">
                            <a:avLst/>
                          </a:prstGeom>
                          <a:noFill/>
                          <a:ln w="9525">
                            <a:noFill/>
                            <a:headEnd/>
                            <a:tailEnd/>
                          </a:ln>
                        </pic:spPr>
                      </pic:pic>
                    </a:graphicData>
                  </a:graphic>
                </wp:inline>
              </w:drawing>
            </w:r>
          </w:p>
          <w:bookmarkEnd w:id="68"/>
        </w:tc>
      </w:tr>
    </w:tbl>
    <w:bookmarkEnd w:id="69"/>
    <w:p>
      <w:pPr>
        <w:pStyle w:val="BodyText"/>
      </w:pPr>
      <w:r>
        <w:t xml:space="preserve">This simulation includes an additional condition with 100 respondents, which results in significantly lower detection rates compared to n = 150. Compared to infit at 250 respondents, item-restscore has detection rates of 95.2%, 90.9%, and 62.4% for targeting 0, -1, and -2, while infit has 96.5%, 96.5%, and 71%. For sample sizes 500 and 1000, the detection rate is similar, including the increased tendency for false positives at n = 1000. The false positive rate is lower for item-restscore than infit for sample sizes below 1000.</w:t>
      </w:r>
    </w:p>
    <w:bookmarkEnd w:id="70"/>
    <w:bookmarkEnd w:id="71"/>
    <w:bookmarkStart w:id="100" w:name="X0c1db0652518344e71eeca7e6706f58cc22aee2"/>
    <w:p>
      <w:pPr>
        <w:pStyle w:val="Heading1"/>
      </w:pPr>
      <w:r>
        <w:t xml:space="preserve">Study 3: Comparing infit and item-restscore</w:t>
      </w:r>
    </w:p>
    <w:p>
      <w:pPr>
        <w:pStyle w:val="FirstParagraph"/>
      </w:pPr>
      <w:r>
        <w:t xml:space="preserve">We will now compare the performance of infit and item-restscore when all three items are misfitting at the same time. This simulation will also include a condition with 2000 respondents to examine if the false positive rate increases with more respondents. For infit, we will use 100 iterations with</w:t>
      </w:r>
      <w:r>
        <w:t xml:space="preserve"> </w:t>
      </w:r>
      <w:r>
        <w:rPr>
          <w:rStyle w:val="VerbatimChar"/>
        </w:rPr>
        <w:t xml:space="preserve">RIgetfit()</w:t>
      </w:r>
      <w:r>
        <w:t xml:space="preserve"> </w:t>
      </w:r>
      <w:r>
        <w:t xml:space="preserve">for n &lt; 500 and 200 iterations for n &gt;= 500 since this produced the best results in Study 1. Outfit is also included in the study, mostly to check if its’ performance is similar to the condition with only one misfitting item.</w:t>
      </w:r>
    </w:p>
    <w:bookmarkStart w:id="99" w:name="results-2"/>
    <w:p>
      <w:pPr>
        <w:pStyle w:val="Heading3"/>
      </w:pPr>
      <w:r>
        <w:t xml:space="preserve">Results</w:t>
      </w:r>
    </w:p>
    <w:bookmarkStart w:id="76" w:name="cell-fig-ifb3out"/>
    <w:tbl>
      <w:tblPr>
        <w:tblStyle w:val="Table"/>
        <w:tblW w:type="pct" w:w="5000"/>
        <w:tblLayout w:type="fixed"/>
        <w:tblLook w:firstRow="0" w:lastRow="0" w:firstColumn="0" w:lastColumn="0" w:noHBand="0" w:noVBand="0" w:val="0000"/>
      </w:tblPr>
      <w:tblGrid>
        <w:gridCol w:w="7920"/>
      </w:tblGrid>
      <w:tr>
        <w:tc>
          <w:tcPr/>
          <w:bookmarkStart w:id="75" w:name="fig-ifb3out"/>
          <w:p>
            <w:pPr>
              <w:jc w:val="center"/>
            </w:pPr>
            <w:pPr>
              <w:jc w:val="start"/>
              <w:spacing w:before="200"/>
              <w:pStyle w:val="ImageCaption"/>
            </w:pPr>
            <w:r>
              <w:t xml:space="preserve">Figure 9: Conditional outfit detection rate with three misfitting items</w:t>
            </w:r>
          </w:p>
          <w:p>
            <w:pPr>
              <w:pStyle w:val="Compact"/>
              <w:jc w:val="center"/>
            </w:pPr>
            <w:r>
              <w:drawing>
                <wp:inline>
                  <wp:extent cx="5943600" cy="6403614"/>
                  <wp:effectExtent b="0" l="0" r="0" t="0"/>
                  <wp:docPr descr="" title="" id="73" name="Picture"/>
                  <a:graphic>
                    <a:graphicData uri="http://schemas.openxmlformats.org/drawingml/2006/picture">
                      <pic:pic>
                        <pic:nvPicPr>
                          <pic:cNvPr descr="index_files/figure-docx/fig-ifb3out-1.png" id="74" name="Picture"/>
                          <pic:cNvPicPr>
                            <a:picLocks noChangeArrowheads="1" noChangeAspect="1"/>
                          </pic:cNvPicPr>
                        </pic:nvPicPr>
                        <pic:blipFill>
                          <a:blip r:embed="rId72"/>
                          <a:stretch>
                            <a:fillRect/>
                          </a:stretch>
                        </pic:blipFill>
                        <pic:spPr bwMode="auto">
                          <a:xfrm>
                            <a:off x="0" y="0"/>
                            <a:ext cx="5943600" cy="6403614"/>
                          </a:xfrm>
                          <a:prstGeom prst="rect">
                            <a:avLst/>
                          </a:prstGeom>
                          <a:noFill/>
                          <a:ln w="9525">
                            <a:noFill/>
                            <a:headEnd/>
                            <a:tailEnd/>
                          </a:ln>
                        </pic:spPr>
                      </pic:pic>
                    </a:graphicData>
                  </a:graphic>
                </wp:inline>
              </w:drawing>
            </w:r>
          </w:p>
          <w:bookmarkEnd w:id="75"/>
        </w:tc>
      </w:tr>
    </w:tbl>
    <w:bookmarkEnd w:id="76"/>
    <w:bookmarkStart w:id="81" w:name="cell-fig-ifb3"/>
    <w:tbl>
      <w:tblPr>
        <w:tblStyle w:val="Table"/>
        <w:tblW w:type="pct" w:w="5000"/>
        <w:tblLayout w:type="fixed"/>
        <w:tblLook w:firstRow="0" w:lastRow="0" w:firstColumn="0" w:lastColumn="0" w:noHBand="0" w:noVBand="0" w:val="0000"/>
      </w:tblPr>
      <w:tblGrid>
        <w:gridCol w:w="7920"/>
      </w:tblGrid>
      <w:tr>
        <w:tc>
          <w:tcPr/>
          <w:bookmarkStart w:id="80" w:name="fig-ifb3"/>
          <w:p>
            <w:pPr>
              <w:jc w:val="center"/>
            </w:pPr>
            <w:pPr>
              <w:jc w:val="start"/>
              <w:spacing w:before="200"/>
              <w:pStyle w:val="ImageCaption"/>
            </w:pPr>
            <w:r>
              <w:t xml:space="preserve">Figure 10: Conditional infit detection rate with three misfitting items</w:t>
            </w:r>
          </w:p>
          <w:p>
            <w:pPr>
              <w:pStyle w:val="Compact"/>
              <w:jc w:val="center"/>
            </w:pPr>
            <w:r>
              <w:drawing>
                <wp:inline>
                  <wp:extent cx="5943600" cy="6403614"/>
                  <wp:effectExtent b="0" l="0" r="0" t="0"/>
                  <wp:docPr descr="" title="" id="78" name="Picture"/>
                  <a:graphic>
                    <a:graphicData uri="http://schemas.openxmlformats.org/drawingml/2006/picture">
                      <pic:pic>
                        <pic:nvPicPr>
                          <pic:cNvPr descr="index_files/figure-docx/fig-ifb3-1.png" id="79" name="Picture"/>
                          <pic:cNvPicPr>
                            <a:picLocks noChangeArrowheads="1" noChangeAspect="1"/>
                          </pic:cNvPicPr>
                        </pic:nvPicPr>
                        <pic:blipFill>
                          <a:blip r:embed="rId77"/>
                          <a:stretch>
                            <a:fillRect/>
                          </a:stretch>
                        </pic:blipFill>
                        <pic:spPr bwMode="auto">
                          <a:xfrm>
                            <a:off x="0" y="0"/>
                            <a:ext cx="5943600" cy="6403614"/>
                          </a:xfrm>
                          <a:prstGeom prst="rect">
                            <a:avLst/>
                          </a:prstGeom>
                          <a:noFill/>
                          <a:ln w="9525">
                            <a:noFill/>
                            <a:headEnd/>
                            <a:tailEnd/>
                          </a:ln>
                        </pic:spPr>
                      </pic:pic>
                    </a:graphicData>
                  </a:graphic>
                </wp:inline>
              </w:drawing>
            </w:r>
          </w:p>
          <w:bookmarkEnd w:id="80"/>
        </w:tc>
      </w:tr>
    </w:tbl>
    <w:bookmarkEnd w:id="81"/>
    <w:p>
      <w:pPr>
        <w:pStyle w:val="BodyText"/>
      </w:pPr>
      <w:r>
        <w:t xml:space="preserve">Looking at the performance of infit with three misfitting items (</w:t>
      </w:r>
      <w:hyperlink w:anchor="fig-ifb3">
        <w:r>
          <w:rPr>
            <w:rStyle w:val="Hyperlink"/>
          </w:rPr>
          <w:t xml:space="preserve">Figure 10</w:t>
        </w:r>
      </w:hyperlink>
      <w:r>
        <w:t xml:space="preserve">), we can see that the detection rate is markedly worse for item 13 (targeting -2 logits) in sample sizes 500 and below, compared to when single items were misfitting. The false positive rate has increased for a sample size of 1000 and we can see it increase strongly at n = 2000. Outfit (</w:t>
      </w:r>
      <w:hyperlink w:anchor="fig-ifb3out">
        <w:r>
          <w:rPr>
            <w:rStyle w:val="Hyperlink"/>
          </w:rPr>
          <w:t xml:space="preserve">Figure 9</w:t>
        </w:r>
      </w:hyperlink>
      <w:r>
        <w:t xml:space="preserve">) again performs worse than infit.</w:t>
      </w:r>
    </w:p>
    <w:bookmarkStart w:id="86" w:name="cell-fig-ifb3b"/>
    <w:tbl>
      <w:tblPr>
        <w:tblStyle w:val="Table"/>
        <w:tblW w:type="pct" w:w="5000"/>
        <w:tblLayout w:type="fixed"/>
        <w:tblLook w:firstRow="0" w:lastRow="0" w:firstColumn="0" w:lastColumn="0" w:noHBand="0" w:noVBand="0" w:val="0000"/>
      </w:tblPr>
      <w:tblGrid>
        <w:gridCol w:w="7920"/>
      </w:tblGrid>
      <w:tr>
        <w:tc>
          <w:tcPr/>
          <w:bookmarkStart w:id="85" w:name="fig-ifb3b"/>
          <w:p>
            <w:pPr>
              <w:jc w:val="center"/>
            </w:pPr>
            <w:pPr>
              <w:jc w:val="start"/>
              <w:spacing w:before="200"/>
              <w:pStyle w:val="ImageCaption"/>
            </w:pPr>
            <w:r>
              <w:t xml:space="preserve">Figure 11: Conditional infit detection rate with three misfitting items</w:t>
            </w:r>
          </w:p>
          <w:p>
            <w:pPr>
              <w:pStyle w:val="Compact"/>
              <w:jc w:val="center"/>
            </w:pPr>
            <w:r>
              <w:drawing>
                <wp:inline>
                  <wp:extent cx="5943600" cy="3659208"/>
                  <wp:effectExtent b="0" l="0" r="0" t="0"/>
                  <wp:docPr descr="" title="" id="83" name="Picture"/>
                  <a:graphic>
                    <a:graphicData uri="http://schemas.openxmlformats.org/drawingml/2006/picture">
                      <pic:pic>
                        <pic:nvPicPr>
                          <pic:cNvPr descr="index_files/figure-docx/fig-ifb3b-1.png" id="84" name="Picture"/>
                          <pic:cNvPicPr>
                            <a:picLocks noChangeArrowheads="1" noChangeAspect="1"/>
                          </pic:cNvPicPr>
                        </pic:nvPicPr>
                        <pic:blipFill>
                          <a:blip r:embed="rId82"/>
                          <a:stretch>
                            <a:fillRect/>
                          </a:stretch>
                        </pic:blipFill>
                        <pic:spPr bwMode="auto">
                          <a:xfrm>
                            <a:off x="0" y="0"/>
                            <a:ext cx="5943600" cy="3659208"/>
                          </a:xfrm>
                          <a:prstGeom prst="rect">
                            <a:avLst/>
                          </a:prstGeom>
                          <a:noFill/>
                          <a:ln w="9525">
                            <a:noFill/>
                            <a:headEnd/>
                            <a:tailEnd/>
                          </a:ln>
                        </pic:spPr>
                      </pic:pic>
                    </a:graphicData>
                  </a:graphic>
                </wp:inline>
              </w:drawing>
            </w:r>
          </w:p>
          <w:bookmarkEnd w:id="85"/>
        </w:tc>
      </w:tr>
    </w:tbl>
    <w:bookmarkEnd w:id="86"/>
    <w:p>
      <w:pPr>
        <w:pStyle w:val="BodyText"/>
      </w:pPr>
      <w:r>
        <w:t xml:space="preserve">In</w:t>
      </w:r>
      <w:r>
        <w:t xml:space="preserve"> </w:t>
      </w:r>
      <w:hyperlink w:anchor="fig-ifb3b">
        <w:r>
          <w:rPr>
            <w:rStyle w:val="Hyperlink"/>
          </w:rPr>
          <w:t xml:space="preserve">Figure 11</w:t>
        </w:r>
      </w:hyperlink>
      <w:r>
        <w:t xml:space="preserve">, the minimal truncation used previously to remove extreme values (quantiles .001 and .999) was increased to .005 and .995. This improves the detection rate, particularly for the n = 250 condition and item 13, but also results in an increased false positive rate.</w:t>
      </w:r>
    </w:p>
    <w:bookmarkStart w:id="92" w:name="cell-fig-itemrestscore2"/>
    <w:tbl>
      <w:tblPr>
        <w:tblStyle w:val="Table"/>
        <w:tblW w:type="pct" w:w="5000"/>
        <w:tblLayout w:type="fixed"/>
        <w:tblLook w:firstRow="0" w:lastRow="0" w:firstColumn="0" w:lastColumn="0" w:noHBand="0" w:noVBand="0" w:val="0000"/>
      </w:tblPr>
      <w:tblGrid>
        <w:gridCol w:w="7920"/>
      </w:tblGrid>
      <w:tr>
        <w:tc>
          <w:tcPr/>
          <w:bookmarkStart w:id="91" w:name="fig-itemrestscore2"/>
          <w:p>
            <w:pPr>
              <w:jc w:val="center"/>
            </w:pPr>
            <w:pPr>
              <w:jc w:val="start"/>
              <w:spacing w:before="200"/>
              <w:pStyle w:val="ImageCaption"/>
            </w:pPr>
            <w:r>
              <w:t xml:space="preserve">Figure 12</w:t>
            </w:r>
          </w:p>
          <w:p>
            <w:pPr>
              <w:pStyle w:val="Compact"/>
              <w:jc w:val="center"/>
            </w:pPr>
            <w:bookmarkStart w:id="90" w:name="fig-itemrestscore2"/>
            <w:r>
              <w:drawing>
                <wp:inline>
                  <wp:extent cx="5943600" cy="6403614"/>
                  <wp:effectExtent b="0" l="0" r="0" t="0"/>
                  <wp:docPr descr="" title="" id="88" name="Picture"/>
                  <a:graphic>
                    <a:graphicData uri="http://schemas.openxmlformats.org/drawingml/2006/picture">
                      <pic:pic>
                        <pic:nvPicPr>
                          <pic:cNvPr descr="index_files/figure-docx/fig-itemrestscore2-1.png" id="89" name="Picture"/>
                          <pic:cNvPicPr>
                            <a:picLocks noChangeArrowheads="1" noChangeAspect="1"/>
                          </pic:cNvPicPr>
                        </pic:nvPicPr>
                        <pic:blipFill>
                          <a:blip r:embed="rId87"/>
                          <a:stretch>
                            <a:fillRect/>
                          </a:stretch>
                        </pic:blipFill>
                        <pic:spPr bwMode="auto">
                          <a:xfrm>
                            <a:off x="0" y="0"/>
                            <a:ext cx="5943600" cy="6403614"/>
                          </a:xfrm>
                          <a:prstGeom prst="rect">
                            <a:avLst/>
                          </a:prstGeom>
                          <a:noFill/>
                          <a:ln w="9525">
                            <a:noFill/>
                            <a:headEnd/>
                            <a:tailEnd/>
                          </a:ln>
                        </pic:spPr>
                      </pic:pic>
                    </a:graphicData>
                  </a:graphic>
                </wp:inline>
              </w:drawing>
            </w:r>
            <w:bookmarkEnd w:id="90"/>
          </w:p>
          <w:bookmarkEnd w:id="91"/>
        </w:tc>
      </w:tr>
    </w:tbl>
    <w:bookmarkEnd w:id="92"/>
    <w:bookmarkStart w:id="97" w:name="cell-fig-comp1"/>
    <w:tbl>
      <w:tblPr>
        <w:tblStyle w:val="Table"/>
        <w:tblW w:type="pct" w:w="5000"/>
        <w:tblLayout w:type="fixed"/>
        <w:tblLook w:firstRow="0" w:lastRow="0" w:firstColumn="0" w:lastColumn="0" w:noHBand="0" w:noVBand="0" w:val="0000"/>
      </w:tblPr>
      <w:tblGrid>
        <w:gridCol w:w="7920"/>
      </w:tblGrid>
      <w:tr>
        <w:tc>
          <w:tcPr/>
          <w:bookmarkStart w:id="96" w:name="fig-comp1"/>
          <w:p>
            <w:pPr>
              <w:jc w:val="center"/>
            </w:pPr>
            <w:pPr>
              <w:jc w:val="start"/>
              <w:spacing w:before="200"/>
              <w:pStyle w:val="ImageCaption"/>
            </w:pPr>
            <w:r>
              <w:t xml:space="preserve">Figure 13: Detection rate for item-restscore compared to infit</w:t>
            </w:r>
          </w:p>
          <w:p>
            <w:pPr>
              <w:pStyle w:val="Compact"/>
              <w:jc w:val="center"/>
            </w:pPr>
            <w:r>
              <w:drawing>
                <wp:inline>
                  <wp:extent cx="5943600" cy="4574010"/>
                  <wp:effectExtent b="0" l="0" r="0" t="0"/>
                  <wp:docPr descr="" title="" id="94" name="Picture"/>
                  <a:graphic>
                    <a:graphicData uri="http://schemas.openxmlformats.org/drawingml/2006/picture">
                      <pic:pic>
                        <pic:nvPicPr>
                          <pic:cNvPr descr="index_files/figure-docx/fig-comp1-1.png" id="95" name="Picture"/>
                          <pic:cNvPicPr>
                            <a:picLocks noChangeArrowheads="1" noChangeAspect="1"/>
                          </pic:cNvPicPr>
                        </pic:nvPicPr>
                        <pic:blipFill>
                          <a:blip r:embed="rId93"/>
                          <a:stretch>
                            <a:fillRect/>
                          </a:stretch>
                        </pic:blipFill>
                        <pic:spPr bwMode="auto">
                          <a:xfrm>
                            <a:off x="0" y="0"/>
                            <a:ext cx="5943600" cy="4574010"/>
                          </a:xfrm>
                          <a:prstGeom prst="rect">
                            <a:avLst/>
                          </a:prstGeom>
                          <a:noFill/>
                          <a:ln w="9525">
                            <a:noFill/>
                            <a:headEnd/>
                            <a:tailEnd/>
                          </a:ln>
                        </pic:spPr>
                      </pic:pic>
                    </a:graphicData>
                  </a:graphic>
                </wp:inline>
              </w:drawing>
            </w:r>
          </w:p>
          <w:bookmarkEnd w:id="96"/>
        </w:tc>
      </w:tr>
    </w:tbl>
    <w:bookmarkEnd w:id="97"/>
    <w:p>
      <w:pPr>
        <w:pStyle w:val="BodyText"/>
      </w:pPr>
      <w:r>
        <w:t xml:space="preserve">Item-restscore (see</w:t>
      </w:r>
      <w:r>
        <w:t xml:space="preserve"> </w:t>
      </w:r>
      <w:hyperlink w:anchor="fig-itemrestscore2">
        <w:r>
          <w:rPr>
            <w:rStyle w:val="Hyperlink"/>
          </w:rPr>
          <w:t xml:space="preserve">Figure 12</w:t>
        </w:r>
      </w:hyperlink>
      <w:r>
        <w:t xml:space="preserve">) shows a comparable detection rate to infit and higher levels of false positives. A comparison is made between the two in</w:t>
      </w:r>
      <w:r>
        <w:t xml:space="preserve"> </w:t>
      </w:r>
      <w:hyperlink w:anchor="fig-comp1">
        <w:r>
          <w:rPr>
            <w:rStyle w:val="Hyperlink"/>
          </w:rPr>
          <w:t xml:space="preserve">Figure 13</w:t>
        </w:r>
      </w:hyperlink>
      <w:r>
        <w:t xml:space="preserve">, where item-restscore is performing better than infit at detecting the -2 logits off-target item at n = 250, and better across all items for n = 500 and n = 1000. Infit performs better for samples n = 150 and n = 250 (except for the item with location -2 logits).</w:t>
      </w:r>
    </w:p>
    <w:tbl>
      <w:tblPr>
        <w:tblStyle w:val="Table"/>
        <w:tblW w:type="pct" w:w="5000"/>
        <w:tblLayout w:type="fixed"/>
        <w:tblLook w:firstRow="0" w:lastRow="0" w:firstColumn="0" w:lastColumn="0" w:noHBand="0" w:noVBand="0" w:val="0000"/>
      </w:tblPr>
      <w:tblGrid>
        <w:gridCol w:w="7920"/>
      </w:tblGrid>
      <w:tr>
        <w:tc>
          <w:tcPr/>
          <w:bookmarkStart w:id="98" w:name="tbl-overunder"/>
          <w:p>
            <w:pPr>
              <w:jc w:val="center"/>
            </w:pPr>
            <w:pPr>
              <w:jc w:val="start"/>
              <w:spacing w:before="200"/>
              <w:pStyle w:val="ImageCaption"/>
            </w:pPr>
            <w:r>
              <w:t xml:space="preserve">Table 2: Item-restscore summary results across all sample sizes</w:t>
            </w:r>
          </w:p>
          <w:tbl>
            <w:tblPr>
              <w:tblStyle w:val="Table"/>
              <w:tblW w:type="pct" w:w="5050"/>
              <w:tblLayout w:type="fixed"/>
              <w:tblLook w:firstRow="1" w:lastRow="0" w:firstColumn="0" w:lastColumn="0" w:noHBand="0" w:noVBand="0" w:val="0020"/>
            </w:tblPr>
            <w:tblGrid>
              <w:gridCol w:w="3405"/>
              <w:gridCol w:w="2296"/>
              <w:gridCol w:w="2296"/>
            </w:tblGrid>
            <w:tr>
              <w:trPr>
                <w:tblHeader w:val="on"/>
              </w:trPr>
              <w:tc>
                <w:tcPr/>
                <w:p>
                  <w:pPr>
                    <w:pStyle w:val="Compact"/>
                    <w:jc w:val="right"/>
                    <w:jc w:val="center"/>
                  </w:pPr>
                  <w:r>
                    <w:t xml:space="preserve">Item</w:t>
                  </w:r>
                </w:p>
              </w:tc>
              <w:tc>
                <w:tcPr/>
                <w:p>
                  <w:pPr>
                    <w:pStyle w:val="Compact"/>
                    <w:jc w:val="left"/>
                    <w:jc w:val="center"/>
                  </w:pPr>
                  <w:r>
                    <w:t xml:space="preserve">Type of misfit</w:t>
                  </w:r>
                </w:p>
              </w:tc>
              <w:tc>
                <w:tcPr/>
                <w:p>
                  <w:pPr>
                    <w:pStyle w:val="Compact"/>
                    <w:jc w:val="right"/>
                    <w:jc w:val="center"/>
                  </w:pPr>
                  <w:r>
                    <w:t xml:space="preserve">Percent</w:t>
                  </w:r>
                </w:p>
              </w:tc>
            </w:tr>
            <w:tr>
              <w:tc>
                <w:tcPr/>
                <w:p>
                  <w:pPr>
                    <w:pStyle w:val="Compact"/>
                    <w:jc w:val="right"/>
                    <w:jc w:val="center"/>
                  </w:pPr>
                  <w:r>
                    <w:t xml:space="preserve">9</w:t>
                  </w:r>
                </w:p>
              </w:tc>
              <w:tc>
                <w:tcPr/>
                <w:p>
                  <w:pPr>
                    <w:pStyle w:val="Compact"/>
                    <w:jc w:val="left"/>
                    <w:jc w:val="center"/>
                  </w:pPr>
                  <w:r>
                    <w:t xml:space="preserve">underfit</w:t>
                  </w:r>
                </w:p>
              </w:tc>
              <w:tc>
                <w:tcPr/>
                <w:p>
                  <w:pPr>
                    <w:pStyle w:val="Compact"/>
                    <w:jc w:val="right"/>
                    <w:jc w:val="center"/>
                  </w:pPr>
                  <w:r>
                    <w:t xml:space="preserve">85.28</w:t>
                  </w:r>
                </w:p>
              </w:tc>
            </w:tr>
            <w:tr>
              <w:tc>
                <w:tcPr/>
                <w:p>
                  <w:pPr>
                    <w:pStyle w:val="Compact"/>
                    <w:jc w:val="right"/>
                    <w:jc w:val="center"/>
                  </w:pPr>
                  <w:r>
                    <w:t xml:space="preserve">18</w:t>
                  </w:r>
                </w:p>
              </w:tc>
              <w:tc>
                <w:tcPr/>
                <w:p>
                  <w:pPr>
                    <w:pStyle w:val="Compact"/>
                    <w:jc w:val="left"/>
                    <w:jc w:val="center"/>
                  </w:pPr>
                  <w:r>
                    <w:t xml:space="preserve">underfit</w:t>
                  </w:r>
                </w:p>
              </w:tc>
              <w:tc>
                <w:tcPr/>
                <w:p>
                  <w:pPr>
                    <w:pStyle w:val="Compact"/>
                    <w:jc w:val="right"/>
                    <w:jc w:val="center"/>
                  </w:pPr>
                  <w:r>
                    <w:t xml:space="preserve">78.96</w:t>
                  </w:r>
                </w:p>
              </w:tc>
            </w:tr>
            <w:tr>
              <w:tc>
                <w:tcPr/>
                <w:p>
                  <w:pPr>
                    <w:pStyle w:val="Compact"/>
                    <w:jc w:val="right"/>
                    <w:jc w:val="center"/>
                  </w:pPr>
                  <w:r>
                    <w:t xml:space="preserve">13</w:t>
                  </w:r>
                </w:p>
              </w:tc>
              <w:tc>
                <w:tcPr/>
                <w:p>
                  <w:pPr>
                    <w:pStyle w:val="Compact"/>
                    <w:jc w:val="left"/>
                    <w:jc w:val="center"/>
                  </w:pPr>
                  <w:r>
                    <w:t xml:space="preserve">underfit</w:t>
                  </w:r>
                </w:p>
              </w:tc>
              <w:tc>
                <w:tcPr/>
                <w:p>
                  <w:pPr>
                    <w:pStyle w:val="Compact"/>
                    <w:jc w:val="right"/>
                    <w:jc w:val="center"/>
                  </w:pPr>
                  <w:r>
                    <w:t xml:space="preserve">63.80</w:t>
                  </w:r>
                </w:p>
              </w:tc>
            </w:tr>
            <w:tr>
              <w:tc>
                <w:tcPr/>
                <w:p>
                  <w:pPr>
                    <w:pStyle w:val="Compact"/>
                    <w:jc w:val="right"/>
                    <w:jc w:val="center"/>
                  </w:pPr>
                  <w:r>
                    <w:t xml:space="preserve">2</w:t>
                  </w:r>
                </w:p>
              </w:tc>
              <w:tc>
                <w:tcPr/>
                <w:p>
                  <w:pPr>
                    <w:pStyle w:val="Compact"/>
                    <w:jc w:val="left"/>
                    <w:jc w:val="center"/>
                  </w:pPr>
                  <w:r>
                    <w:t xml:space="preserve">overfit</w:t>
                  </w:r>
                </w:p>
              </w:tc>
              <w:tc>
                <w:tcPr/>
                <w:p>
                  <w:pPr>
                    <w:pStyle w:val="Compact"/>
                    <w:jc w:val="right"/>
                    <w:jc w:val="center"/>
                  </w:pPr>
                  <w:r>
                    <w:t xml:space="preserve">20.80</w:t>
                  </w:r>
                </w:p>
              </w:tc>
            </w:tr>
            <w:tr>
              <w:tc>
                <w:tcPr/>
                <w:p>
                  <w:pPr>
                    <w:pStyle w:val="Compact"/>
                    <w:jc w:val="right"/>
                    <w:jc w:val="center"/>
                  </w:pPr>
                  <w:r>
                    <w:t xml:space="preserve">6</w:t>
                  </w:r>
                </w:p>
              </w:tc>
              <w:tc>
                <w:tcPr/>
                <w:p>
                  <w:pPr>
                    <w:pStyle w:val="Compact"/>
                    <w:jc w:val="left"/>
                    <w:jc w:val="center"/>
                  </w:pPr>
                  <w:r>
                    <w:t xml:space="preserve">overfit</w:t>
                  </w:r>
                </w:p>
              </w:tc>
              <w:tc>
                <w:tcPr/>
                <w:p>
                  <w:pPr>
                    <w:pStyle w:val="Compact"/>
                    <w:jc w:val="right"/>
                    <w:jc w:val="center"/>
                  </w:pPr>
                  <w:r>
                    <w:t xml:space="preserve">19.00</w:t>
                  </w:r>
                </w:p>
              </w:tc>
            </w:tr>
            <w:tr>
              <w:tc>
                <w:tcPr/>
                <w:p>
                  <w:pPr>
                    <w:pStyle w:val="Compact"/>
                    <w:jc w:val="right"/>
                    <w:jc w:val="center"/>
                  </w:pPr>
                  <w:r>
                    <w:t xml:space="preserve">20</w:t>
                  </w:r>
                </w:p>
              </w:tc>
              <w:tc>
                <w:tcPr/>
                <w:p>
                  <w:pPr>
                    <w:pStyle w:val="Compact"/>
                    <w:jc w:val="left"/>
                    <w:jc w:val="center"/>
                  </w:pPr>
                  <w:r>
                    <w:t xml:space="preserve">overfit</w:t>
                  </w:r>
                </w:p>
              </w:tc>
              <w:tc>
                <w:tcPr/>
                <w:p>
                  <w:pPr>
                    <w:pStyle w:val="Compact"/>
                    <w:jc w:val="right"/>
                    <w:jc w:val="center"/>
                  </w:pPr>
                  <w:r>
                    <w:t xml:space="preserve">15.48</w:t>
                  </w:r>
                </w:p>
              </w:tc>
            </w:tr>
            <w:tr>
              <w:tc>
                <w:tcPr/>
                <w:p>
                  <w:pPr>
                    <w:pStyle w:val="Compact"/>
                    <w:jc w:val="right"/>
                    <w:jc w:val="center"/>
                  </w:pPr>
                  <w:r>
                    <w:t xml:space="preserve">8</w:t>
                  </w:r>
                </w:p>
              </w:tc>
              <w:tc>
                <w:tcPr/>
                <w:p>
                  <w:pPr>
                    <w:pStyle w:val="Compact"/>
                    <w:jc w:val="left"/>
                    <w:jc w:val="center"/>
                  </w:pPr>
                  <w:r>
                    <w:t xml:space="preserve">overfit</w:t>
                  </w:r>
                </w:p>
              </w:tc>
              <w:tc>
                <w:tcPr/>
                <w:p>
                  <w:pPr>
                    <w:pStyle w:val="Compact"/>
                    <w:jc w:val="right"/>
                    <w:jc w:val="center"/>
                  </w:pPr>
                  <w:r>
                    <w:t xml:space="preserve">15.28</w:t>
                  </w:r>
                </w:p>
              </w:tc>
            </w:tr>
            <w:tr>
              <w:tc>
                <w:tcPr/>
                <w:p>
                  <w:pPr>
                    <w:pStyle w:val="Compact"/>
                    <w:jc w:val="right"/>
                    <w:jc w:val="center"/>
                  </w:pPr>
                  <w:r>
                    <w:t xml:space="preserve">10</w:t>
                  </w:r>
                </w:p>
              </w:tc>
              <w:tc>
                <w:tcPr/>
                <w:p>
                  <w:pPr>
                    <w:pStyle w:val="Compact"/>
                    <w:jc w:val="left"/>
                    <w:jc w:val="center"/>
                  </w:pPr>
                  <w:r>
                    <w:t xml:space="preserve">overfit</w:t>
                  </w:r>
                </w:p>
              </w:tc>
              <w:tc>
                <w:tcPr/>
                <w:p>
                  <w:pPr>
                    <w:pStyle w:val="Compact"/>
                    <w:jc w:val="right"/>
                    <w:jc w:val="center"/>
                  </w:pPr>
                  <w:r>
                    <w:t xml:space="preserve">14.60</w:t>
                  </w:r>
                </w:p>
              </w:tc>
            </w:tr>
            <w:tr>
              <w:tc>
                <w:tcPr/>
                <w:p>
                  <w:pPr>
                    <w:pStyle w:val="Compact"/>
                    <w:jc w:val="right"/>
                    <w:jc w:val="center"/>
                  </w:pPr>
                  <w:r>
                    <w:t xml:space="preserve">11</w:t>
                  </w:r>
                </w:p>
              </w:tc>
              <w:tc>
                <w:tcPr/>
                <w:p>
                  <w:pPr>
                    <w:pStyle w:val="Compact"/>
                    <w:jc w:val="left"/>
                    <w:jc w:val="center"/>
                  </w:pPr>
                  <w:r>
                    <w:t xml:space="preserve">overfit</w:t>
                  </w:r>
                </w:p>
              </w:tc>
              <w:tc>
                <w:tcPr/>
                <w:p>
                  <w:pPr>
                    <w:pStyle w:val="Compact"/>
                    <w:jc w:val="right"/>
                    <w:jc w:val="center"/>
                  </w:pPr>
                  <w:r>
                    <w:t xml:space="preserve">13.04</w:t>
                  </w:r>
                </w:p>
              </w:tc>
            </w:tr>
            <w:tr>
              <w:tc>
                <w:tcPr/>
                <w:p>
                  <w:pPr>
                    <w:pStyle w:val="Compact"/>
                    <w:jc w:val="right"/>
                    <w:jc w:val="center"/>
                  </w:pPr>
                  <w:r>
                    <w:t xml:space="preserve">7</w:t>
                  </w:r>
                </w:p>
              </w:tc>
              <w:tc>
                <w:tcPr/>
                <w:p>
                  <w:pPr>
                    <w:pStyle w:val="Compact"/>
                    <w:jc w:val="left"/>
                    <w:jc w:val="center"/>
                  </w:pPr>
                  <w:r>
                    <w:t xml:space="preserve">overfit</w:t>
                  </w:r>
                </w:p>
              </w:tc>
              <w:tc>
                <w:tcPr/>
                <w:p>
                  <w:pPr>
                    <w:pStyle w:val="Compact"/>
                    <w:jc w:val="right"/>
                    <w:jc w:val="center"/>
                  </w:pPr>
                  <w:r>
                    <w:t xml:space="preserve">12.52</w:t>
                  </w:r>
                </w:p>
              </w:tc>
            </w:tr>
            <w:tr>
              <w:tc>
                <w:tcPr/>
                <w:p>
                  <w:pPr>
                    <w:pStyle w:val="Compact"/>
                    <w:jc w:val="right"/>
                    <w:jc w:val="center"/>
                  </w:pPr>
                  <w:r>
                    <w:t xml:space="preserve">15</w:t>
                  </w:r>
                </w:p>
              </w:tc>
              <w:tc>
                <w:tcPr/>
                <w:p>
                  <w:pPr>
                    <w:pStyle w:val="Compact"/>
                    <w:jc w:val="left"/>
                    <w:jc w:val="center"/>
                  </w:pPr>
                  <w:r>
                    <w:t xml:space="preserve">overfit</w:t>
                  </w:r>
                </w:p>
              </w:tc>
              <w:tc>
                <w:tcPr/>
                <w:p>
                  <w:pPr>
                    <w:pStyle w:val="Compact"/>
                    <w:jc w:val="right"/>
                    <w:jc w:val="center"/>
                  </w:pPr>
                  <w:r>
                    <w:t xml:space="preserve">12.52</w:t>
                  </w:r>
                </w:p>
              </w:tc>
            </w:tr>
            <w:tr>
              <w:tc>
                <w:tcPr/>
                <w:p>
                  <w:pPr>
                    <w:pStyle w:val="Compact"/>
                    <w:jc w:val="right"/>
                    <w:jc w:val="center"/>
                  </w:pPr>
                  <w:r>
                    <w:t xml:space="preserve">1</w:t>
                  </w:r>
                </w:p>
              </w:tc>
              <w:tc>
                <w:tcPr/>
                <w:p>
                  <w:pPr>
                    <w:pStyle w:val="Compact"/>
                    <w:jc w:val="left"/>
                    <w:jc w:val="center"/>
                  </w:pPr>
                  <w:r>
                    <w:t xml:space="preserve">overfit</w:t>
                  </w:r>
                </w:p>
              </w:tc>
              <w:tc>
                <w:tcPr/>
                <w:p>
                  <w:pPr>
                    <w:pStyle w:val="Compact"/>
                    <w:jc w:val="right"/>
                    <w:jc w:val="center"/>
                  </w:pPr>
                  <w:r>
                    <w:t xml:space="preserve">11.96</w:t>
                  </w:r>
                </w:p>
              </w:tc>
            </w:tr>
            <w:tr>
              <w:tc>
                <w:tcPr/>
                <w:p>
                  <w:pPr>
                    <w:pStyle w:val="Compact"/>
                    <w:jc w:val="right"/>
                    <w:jc w:val="center"/>
                  </w:pPr>
                  <w:r>
                    <w:t xml:space="preserve">5</w:t>
                  </w:r>
                </w:p>
              </w:tc>
              <w:tc>
                <w:tcPr/>
                <w:p>
                  <w:pPr>
                    <w:pStyle w:val="Compact"/>
                    <w:jc w:val="left"/>
                    <w:jc w:val="center"/>
                  </w:pPr>
                  <w:r>
                    <w:t xml:space="preserve">overfit</w:t>
                  </w:r>
                </w:p>
              </w:tc>
              <w:tc>
                <w:tcPr/>
                <w:p>
                  <w:pPr>
                    <w:pStyle w:val="Compact"/>
                    <w:jc w:val="right"/>
                    <w:jc w:val="center"/>
                  </w:pPr>
                  <w:r>
                    <w:t xml:space="preserve">11.92</w:t>
                  </w:r>
                </w:p>
              </w:tc>
            </w:tr>
            <w:tr>
              <w:tc>
                <w:tcPr/>
                <w:p>
                  <w:pPr>
                    <w:pStyle w:val="Compact"/>
                    <w:jc w:val="right"/>
                    <w:jc w:val="center"/>
                  </w:pPr>
                  <w:r>
                    <w:t xml:space="preserve">16</w:t>
                  </w:r>
                </w:p>
              </w:tc>
              <w:tc>
                <w:tcPr/>
                <w:p>
                  <w:pPr>
                    <w:pStyle w:val="Compact"/>
                    <w:jc w:val="left"/>
                    <w:jc w:val="center"/>
                  </w:pPr>
                  <w:r>
                    <w:t xml:space="preserve">overfit</w:t>
                  </w:r>
                </w:p>
              </w:tc>
              <w:tc>
                <w:tcPr/>
                <w:p>
                  <w:pPr>
                    <w:pStyle w:val="Compact"/>
                    <w:jc w:val="right"/>
                    <w:jc w:val="center"/>
                  </w:pPr>
                  <w:r>
                    <w:t xml:space="preserve">11.12</w:t>
                  </w:r>
                </w:p>
              </w:tc>
            </w:tr>
            <w:tr>
              <w:tc>
                <w:tcPr/>
                <w:p>
                  <w:pPr>
                    <w:pStyle w:val="Compact"/>
                    <w:jc w:val="right"/>
                    <w:jc w:val="center"/>
                  </w:pPr>
                  <w:r>
                    <w:t xml:space="preserve">3</w:t>
                  </w:r>
                </w:p>
              </w:tc>
              <w:tc>
                <w:tcPr/>
                <w:p>
                  <w:pPr>
                    <w:pStyle w:val="Compact"/>
                    <w:jc w:val="left"/>
                    <w:jc w:val="center"/>
                  </w:pPr>
                  <w:r>
                    <w:t xml:space="preserve">overfit</w:t>
                  </w:r>
                </w:p>
              </w:tc>
              <w:tc>
                <w:tcPr/>
                <w:p>
                  <w:pPr>
                    <w:pStyle w:val="Compact"/>
                    <w:jc w:val="right"/>
                    <w:jc w:val="center"/>
                  </w:pPr>
                  <w:r>
                    <w:t xml:space="preserve">8.96</w:t>
                  </w:r>
                </w:p>
              </w:tc>
            </w:tr>
            <w:tr>
              <w:tc>
                <w:tcPr/>
                <w:p>
                  <w:pPr>
                    <w:pStyle w:val="Compact"/>
                    <w:jc w:val="right"/>
                    <w:jc w:val="center"/>
                  </w:pPr>
                  <w:r>
                    <w:t xml:space="preserve">14</w:t>
                  </w:r>
                </w:p>
              </w:tc>
              <w:tc>
                <w:tcPr/>
                <w:p>
                  <w:pPr>
                    <w:pStyle w:val="Compact"/>
                    <w:jc w:val="left"/>
                    <w:jc w:val="center"/>
                  </w:pPr>
                  <w:r>
                    <w:t xml:space="preserve">overfit</w:t>
                  </w:r>
                </w:p>
              </w:tc>
              <w:tc>
                <w:tcPr/>
                <w:p>
                  <w:pPr>
                    <w:pStyle w:val="Compact"/>
                    <w:jc w:val="right"/>
                    <w:jc w:val="center"/>
                  </w:pPr>
                  <w:r>
                    <w:t xml:space="preserve">7.28</w:t>
                  </w:r>
                </w:p>
              </w:tc>
            </w:tr>
            <w:tr>
              <w:tc>
                <w:tcPr/>
                <w:p>
                  <w:pPr>
                    <w:pStyle w:val="Compact"/>
                    <w:jc w:val="right"/>
                    <w:jc w:val="center"/>
                  </w:pPr>
                  <w:r>
                    <w:t xml:space="preserve">4</w:t>
                  </w:r>
                </w:p>
              </w:tc>
              <w:tc>
                <w:tcPr/>
                <w:p>
                  <w:pPr>
                    <w:pStyle w:val="Compact"/>
                    <w:jc w:val="left"/>
                    <w:jc w:val="center"/>
                  </w:pPr>
                  <w:r>
                    <w:t xml:space="preserve">overfit</w:t>
                  </w:r>
                </w:p>
              </w:tc>
              <w:tc>
                <w:tcPr/>
                <w:p>
                  <w:pPr>
                    <w:pStyle w:val="Compact"/>
                    <w:jc w:val="right"/>
                    <w:jc w:val="center"/>
                  </w:pPr>
                  <w:r>
                    <w:t xml:space="preserve">7.24</w:t>
                  </w:r>
                </w:p>
              </w:tc>
            </w:tr>
            <w:tr>
              <w:tc>
                <w:tcPr/>
                <w:p>
                  <w:pPr>
                    <w:pStyle w:val="Compact"/>
                    <w:jc w:val="right"/>
                    <w:jc w:val="center"/>
                  </w:pPr>
                  <w:r>
                    <w:t xml:space="preserve">12</w:t>
                  </w:r>
                </w:p>
              </w:tc>
              <w:tc>
                <w:tcPr/>
                <w:p>
                  <w:pPr>
                    <w:pStyle w:val="Compact"/>
                    <w:jc w:val="left"/>
                    <w:jc w:val="center"/>
                  </w:pPr>
                  <w:r>
                    <w:t xml:space="preserve">overfit</w:t>
                  </w:r>
                </w:p>
              </w:tc>
              <w:tc>
                <w:tcPr/>
                <w:p>
                  <w:pPr>
                    <w:pStyle w:val="Compact"/>
                    <w:jc w:val="right"/>
                    <w:jc w:val="center"/>
                  </w:pPr>
                  <w:r>
                    <w:t xml:space="preserve">5.96</w:t>
                  </w:r>
                </w:p>
              </w:tc>
            </w:tr>
            <w:tr>
              <w:tc>
                <w:tcPr/>
                <w:p>
                  <w:pPr>
                    <w:pStyle w:val="Compact"/>
                    <w:jc w:val="right"/>
                    <w:jc w:val="center"/>
                  </w:pPr>
                  <w:r>
                    <w:t xml:space="preserve">17</w:t>
                  </w:r>
                </w:p>
              </w:tc>
              <w:tc>
                <w:tcPr/>
                <w:p>
                  <w:pPr>
                    <w:pStyle w:val="Compact"/>
                    <w:jc w:val="left"/>
                    <w:jc w:val="center"/>
                  </w:pPr>
                  <w:r>
                    <w:t xml:space="preserve">overfit</w:t>
                  </w:r>
                </w:p>
              </w:tc>
              <w:tc>
                <w:tcPr/>
                <w:p>
                  <w:pPr>
                    <w:pStyle w:val="Compact"/>
                    <w:jc w:val="right"/>
                    <w:jc w:val="center"/>
                  </w:pPr>
                  <w:r>
                    <w:t xml:space="preserve">5.16</w:t>
                  </w:r>
                </w:p>
              </w:tc>
            </w:tr>
            <w:tr>
              <w:tc>
                <w:tcPr/>
                <w:p>
                  <w:pPr>
                    <w:pStyle w:val="Compact"/>
                    <w:jc w:val="right"/>
                    <w:jc w:val="center"/>
                  </w:pPr>
                  <w:r>
                    <w:t xml:space="preserve">19</w:t>
                  </w:r>
                </w:p>
              </w:tc>
              <w:tc>
                <w:tcPr/>
                <w:p>
                  <w:pPr>
                    <w:pStyle w:val="Compact"/>
                    <w:jc w:val="left"/>
                    <w:jc w:val="center"/>
                  </w:pPr>
                  <w:r>
                    <w:t xml:space="preserve">overfit</w:t>
                  </w:r>
                </w:p>
              </w:tc>
              <w:tc>
                <w:tcPr/>
                <w:p>
                  <w:pPr>
                    <w:pStyle w:val="Compact"/>
                    <w:jc w:val="right"/>
                    <w:jc w:val="center"/>
                  </w:pPr>
                  <w:r>
                    <w:t xml:space="preserve">1.24</w:t>
                  </w:r>
                </w:p>
              </w:tc>
            </w:tr>
            <w:tr>
              <w:tc>
                <w:tcPr/>
                <w:p>
                  <w:pPr>
                    <w:pStyle w:val="Compact"/>
                    <w:jc w:val="right"/>
                    <w:jc w:val="center"/>
                  </w:pPr>
                  <w:r>
                    <w:t xml:space="preserve">12</w:t>
                  </w:r>
                </w:p>
              </w:tc>
              <w:tc>
                <w:tcPr/>
                <w:p>
                  <w:pPr>
                    <w:pStyle w:val="Compact"/>
                    <w:jc w:val="left"/>
                    <w:jc w:val="center"/>
                  </w:pPr>
                  <w:r>
                    <w:t xml:space="preserve">underfit</w:t>
                  </w:r>
                </w:p>
              </w:tc>
              <w:tc>
                <w:tcPr/>
                <w:p>
                  <w:pPr>
                    <w:pStyle w:val="Compact"/>
                    <w:jc w:val="right"/>
                    <w:jc w:val="center"/>
                  </w:pPr>
                  <w:r>
                    <w:t xml:space="preserve">0.08</w:t>
                  </w:r>
                </w:p>
              </w:tc>
            </w:tr>
          </w:tbl>
          <w:bookmarkEnd w:id="98"/>
          <w:p/>
        </w:tc>
      </w:tr>
    </w:tbl>
    <w:p>
      <w:pPr>
        <w:pStyle w:val="BodyText"/>
      </w:pPr>
      <w:r>
        <w:t xml:space="preserve">Reviewing the type of misfit identified by item-restscore (see</w:t>
      </w:r>
      <w:r>
        <w:t xml:space="preserve"> </w:t>
      </w:r>
      <w:hyperlink w:anchor="tbl-overunder">
        <w:r>
          <w:rPr>
            <w:rStyle w:val="Hyperlink"/>
          </w:rPr>
          <w:t xml:space="preserve">Table 2</w:t>
        </w:r>
      </w:hyperlink>
      <w:r>
        <w:t xml:space="preserve">), the false positives are all overfitting the Rasch model, except for two instances (out of 2500) indicating underfit for item 12. Items 9, 13, and 18, which were simulated to be misfitting due to loading on a separate dimension, are as expected showing underfit to the Rasch model.</w:t>
      </w:r>
    </w:p>
    <w:bookmarkEnd w:id="99"/>
    <w:bookmarkEnd w:id="100"/>
    <w:bookmarkStart w:id="119" w:name="study-4-bootstrapped-item-restscore"/>
    <w:p>
      <w:pPr>
        <w:pStyle w:val="Heading1"/>
      </w:pPr>
      <w:r>
        <w:t xml:space="preserve">Study 4: Bootstrapped item-restscore</w:t>
      </w:r>
    </w:p>
    <w:p>
      <w:pPr>
        <w:pStyle w:val="FirstParagraph"/>
      </w:pPr>
      <w:r>
        <w:t xml:space="preserve">For this set of simulations, we will use a non-parametric bootstrap procedure with item-restscore. The difference from the parametric bootstrap is that the non-parametric bootstrap samples with replacement directly from the observed response data. First, based on the above problematic sample size of 2000 when three items are misfitting, we will use the bootstrap function to sample with replacement using n = 800 and 250 bootstrap samples. The function</w:t>
      </w:r>
      <w:r>
        <w:t xml:space="preserve"> </w:t>
      </w:r>
      <w:r>
        <w:rPr>
          <w:rStyle w:val="VerbatimChar"/>
        </w:rPr>
        <w:t xml:space="preserve">RIbootRestscore()</w:t>
      </w:r>
      <w:r>
        <w:t xml:space="preserve"> </w:t>
      </w:r>
      <w:r>
        <w:t xml:space="preserve">from the</w:t>
      </w:r>
      <w:r>
        <w:t xml:space="preserve"> </w:t>
      </w:r>
      <w:r>
        <w:rPr>
          <w:rStyle w:val="VerbatimChar"/>
        </w:rPr>
        <w:t xml:space="preserve">easyRasch</w:t>
      </w:r>
      <w:r>
        <w:t xml:space="preserve"> </w:t>
      </w:r>
      <w:r>
        <w:t xml:space="preserve">package will be used.</w:t>
      </w:r>
    </w:p>
    <w:p>
      <w:pPr>
        <w:pStyle w:val="BodyText"/>
      </w:pPr>
      <w:r>
        <w:t xml:space="preserve">Second, we will also apply the bootstrapped item-restscore method to sample sizes 150 and 250, using the complete sample for the same bootstrap procedure to see if this produces more useful information than previously tested strategies for identifying misfitting items.</w:t>
      </w:r>
    </w:p>
    <w:bookmarkStart w:id="111" w:name="results-3"/>
    <w:p>
      <w:pPr>
        <w:pStyle w:val="Heading2"/>
      </w:pPr>
      <w:r>
        <w:t xml:space="preserve">Results</w:t>
      </w:r>
    </w:p>
    <w:bookmarkStart w:id="105" w:name="cell-fig-irb0all"/>
    <w:tbl>
      <w:tblPr>
        <w:tblStyle w:val="Table"/>
        <w:tblW w:type="pct" w:w="5000"/>
        <w:tblLayout w:type="fixed"/>
        <w:tblLook w:firstRow="0" w:lastRow="0" w:firstColumn="0" w:lastColumn="0" w:noHBand="0" w:noVBand="0" w:val="0000"/>
      </w:tblPr>
      <w:tblGrid>
        <w:gridCol w:w="7920"/>
      </w:tblGrid>
      <w:tr>
        <w:tc>
          <w:tcPr/>
          <w:bookmarkStart w:id="104" w:name="fig-irb0all"/>
          <w:p>
            <w:pPr>
              <w:jc w:val="center"/>
            </w:pPr>
            <w:pPr>
              <w:jc w:val="start"/>
              <w:spacing w:before="200"/>
              <w:pStyle w:val="ImageCaption"/>
            </w:pPr>
            <w:r>
              <w:t xml:space="preserve">Figure 14: Item-restscore bootstrap results (n = 2000)</w:t>
            </w:r>
          </w:p>
          <w:p>
            <w:pPr>
              <w:pStyle w:val="Compact"/>
              <w:jc w:val="center"/>
            </w:pPr>
            <w:r>
              <w:drawing>
                <wp:inline>
                  <wp:extent cx="5943600" cy="4574010"/>
                  <wp:effectExtent b="0" l="0" r="0" t="0"/>
                  <wp:docPr descr="" title="" id="102" name="Picture"/>
                  <a:graphic>
                    <a:graphicData uri="http://schemas.openxmlformats.org/drawingml/2006/picture">
                      <pic:pic>
                        <pic:nvPicPr>
                          <pic:cNvPr descr="index_files/figure-docx/fig-irb0all-1.png" id="103" name="Picture"/>
                          <pic:cNvPicPr>
                            <a:picLocks noChangeArrowheads="1" noChangeAspect="1"/>
                          </pic:cNvPicPr>
                        </pic:nvPicPr>
                        <pic:blipFill>
                          <a:blip r:embed="rId101"/>
                          <a:stretch>
                            <a:fillRect/>
                          </a:stretch>
                        </pic:blipFill>
                        <pic:spPr bwMode="auto">
                          <a:xfrm>
                            <a:off x="0" y="0"/>
                            <a:ext cx="5943600" cy="4574010"/>
                          </a:xfrm>
                          <a:prstGeom prst="rect">
                            <a:avLst/>
                          </a:prstGeom>
                          <a:noFill/>
                          <a:ln w="9525">
                            <a:noFill/>
                            <a:headEnd/>
                            <a:tailEnd/>
                          </a:ln>
                        </pic:spPr>
                      </pic:pic>
                    </a:graphicData>
                  </a:graphic>
                </wp:inline>
              </w:drawing>
            </w:r>
          </w:p>
          <w:bookmarkEnd w:id="104"/>
        </w:tc>
      </w:tr>
    </w:tbl>
    <w:bookmarkEnd w:id="105"/>
    <w:bookmarkStart w:id="110" w:name="tbl-irb0mis"/>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107" w:name="tbl-irb0mis-1"/>
                <w:p>
                  <w:pPr>
                    <w:jc w:val="center"/>
                  </w:pPr>
                  <w:pPr>
                    <w:jc w:val="start"/>
                    <w:spacing w:before="200"/>
                    <w:pStyle w:val="ImageCaption"/>
                  </w:pPr>
                  <w:r>
                    <w:t xml:space="preserve">(a) Misfitting items</w:t>
                  </w:r>
                </w:p>
                <w:bookmarkStart w:id="106" w:name="tbl-irb0mis-1"/>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jc w:val="center"/>
                        </w:pPr>
                        <w:r>
                          <w:t xml:space="preserve">Item</w:t>
                        </w:r>
                      </w:p>
                    </w:tc>
                    <w:tc>
                      <w:tcPr/>
                      <w:p>
                        <w:pPr>
                          <w:pStyle w:val="Compact"/>
                          <w:jc w:val="right"/>
                          <w:jc w:val="center"/>
                        </w:pPr>
                        <w:r>
                          <w:t xml:space="preserve">Median</w:t>
                        </w:r>
                      </w:p>
                    </w:tc>
                    <w:tc>
                      <w:tcPr/>
                      <w:p>
                        <w:pPr>
                          <w:pStyle w:val="Compact"/>
                          <w:jc w:val="right"/>
                          <w:jc w:val="center"/>
                        </w:pPr>
                        <w:r>
                          <w:t xml:space="preserve">MAD</w:t>
                        </w:r>
                      </w:p>
                    </w:tc>
                    <w:tc>
                      <w:tcPr/>
                      <w:p>
                        <w:pPr>
                          <w:pStyle w:val="Compact"/>
                          <w:jc w:val="right"/>
                          <w:jc w:val="center"/>
                        </w:pPr>
                        <w:r>
                          <w:t xml:space="preserve">Mean</w:t>
                        </w:r>
                      </w:p>
                    </w:tc>
                    <w:tc>
                      <w:tcPr/>
                      <w:p>
                        <w:pPr>
                          <w:pStyle w:val="Compact"/>
                          <w:jc w:val="right"/>
                          <w:jc w:val="center"/>
                        </w:pPr>
                        <w:r>
                          <w:t xml:space="preserve">SD</w:t>
                        </w:r>
                      </w:p>
                    </w:tc>
                    <w:tc>
                      <w:tcPr/>
                      <w:p>
                        <w:pPr>
                          <w:pStyle w:val="Compact"/>
                          <w:jc w:val="right"/>
                          <w:jc w:val="center"/>
                        </w:pPr>
                        <w:r>
                          <w:t xml:space="preserve">Percentile .05</w:t>
                        </w:r>
                      </w:p>
                    </w:tc>
                  </w:tr>
                  <w:tr>
                    <w:tc>
                      <w:tcPr/>
                      <w:p>
                        <w:pPr>
                          <w:pStyle w:val="Compact"/>
                          <w:jc w:val="left"/>
                          <w:jc w:val="center"/>
                        </w:pPr>
                        <w:r>
                          <w:t xml:space="preserve">V9</w:t>
                        </w:r>
                      </w:p>
                    </w:tc>
                    <w:tc>
                      <w:tcPr/>
                      <w:p>
                        <w:pPr>
                          <w:pStyle w:val="Compact"/>
                          <w:jc w:val="right"/>
                          <w:jc w:val="center"/>
                        </w:pPr>
                        <w:r>
                          <w:t xml:space="preserve">100.0</w:t>
                        </w:r>
                      </w:p>
                    </w:tc>
                    <w:tc>
                      <w:tcPr/>
                      <w:p>
                        <w:pPr>
                          <w:pStyle w:val="Compact"/>
                          <w:jc w:val="right"/>
                          <w:jc w:val="center"/>
                        </w:pPr>
                        <w:r>
                          <w:t xml:space="preserve">0.0</w:t>
                        </w:r>
                      </w:p>
                    </w:tc>
                    <w:tc>
                      <w:tcPr/>
                      <w:p>
                        <w:pPr>
                          <w:pStyle w:val="Compact"/>
                          <w:jc w:val="right"/>
                          <w:jc w:val="center"/>
                        </w:pPr>
                        <w:r>
                          <w:t xml:space="preserve">100.0</w:t>
                        </w:r>
                      </w:p>
                    </w:tc>
                    <w:tc>
                      <w:tcPr/>
                      <w:p>
                        <w:pPr>
                          <w:pStyle w:val="Compact"/>
                          <w:jc w:val="right"/>
                          <w:jc w:val="center"/>
                        </w:pPr>
                        <w:r>
                          <w:t xml:space="preserve">0.1</w:t>
                        </w:r>
                      </w:p>
                    </w:tc>
                    <w:tc>
                      <w:tcPr/>
                      <w:p>
                        <w:pPr>
                          <w:pStyle w:val="Compact"/>
                          <w:jc w:val="right"/>
                          <w:jc w:val="center"/>
                        </w:pPr>
                        <w:r>
                          <w:t xml:space="preserve">100.0</w:t>
                        </w:r>
                      </w:p>
                    </w:tc>
                  </w:tr>
                  <w:tr>
                    <w:tc>
                      <w:tcPr/>
                      <w:p>
                        <w:pPr>
                          <w:pStyle w:val="Compact"/>
                          <w:jc w:val="left"/>
                          <w:jc w:val="center"/>
                        </w:pPr>
                        <w:r>
                          <w:t xml:space="preserve">V18</w:t>
                        </w:r>
                      </w:p>
                    </w:tc>
                    <w:tc>
                      <w:tcPr/>
                      <w:p>
                        <w:pPr>
                          <w:pStyle w:val="Compact"/>
                          <w:jc w:val="right"/>
                          <w:jc w:val="center"/>
                        </w:pPr>
                        <w:r>
                          <w:t xml:space="preserve">100.0</w:t>
                        </w:r>
                      </w:p>
                    </w:tc>
                    <w:tc>
                      <w:tcPr/>
                      <w:p>
                        <w:pPr>
                          <w:pStyle w:val="Compact"/>
                          <w:jc w:val="right"/>
                          <w:jc w:val="center"/>
                        </w:pPr>
                        <w:r>
                          <w:t xml:space="preserve">0.0</w:t>
                        </w:r>
                      </w:p>
                    </w:tc>
                    <w:tc>
                      <w:tcPr/>
                      <w:p>
                        <w:pPr>
                          <w:pStyle w:val="Compact"/>
                          <w:jc w:val="right"/>
                          <w:jc w:val="center"/>
                        </w:pPr>
                        <w:r>
                          <w:t xml:space="preserve">99.8</w:t>
                        </w:r>
                      </w:p>
                    </w:tc>
                    <w:tc>
                      <w:tcPr/>
                      <w:p>
                        <w:pPr>
                          <w:pStyle w:val="Compact"/>
                          <w:jc w:val="right"/>
                          <w:jc w:val="center"/>
                        </w:pPr>
                        <w:r>
                          <w:t xml:space="preserve">0.9</w:t>
                        </w:r>
                      </w:p>
                    </w:tc>
                    <w:tc>
                      <w:tcPr/>
                      <w:p>
                        <w:pPr>
                          <w:pStyle w:val="Compact"/>
                          <w:jc w:val="right"/>
                          <w:jc w:val="center"/>
                        </w:pPr>
                        <w:r>
                          <w:t xml:space="preserve">99.2</w:t>
                        </w:r>
                      </w:p>
                    </w:tc>
                  </w:tr>
                  <w:tr>
                    <w:tc>
                      <w:tcPr/>
                      <w:p>
                        <w:pPr>
                          <w:pStyle w:val="Compact"/>
                          <w:jc w:val="left"/>
                          <w:jc w:val="center"/>
                        </w:pPr>
                        <w:r>
                          <w:t xml:space="preserve">V13</w:t>
                        </w:r>
                      </w:p>
                    </w:tc>
                    <w:tc>
                      <w:tcPr/>
                      <w:p>
                        <w:pPr>
                          <w:pStyle w:val="Compact"/>
                          <w:jc w:val="right"/>
                          <w:jc w:val="center"/>
                        </w:pPr>
                        <w:r>
                          <w:t xml:space="preserve">95.6</w:t>
                        </w:r>
                      </w:p>
                    </w:tc>
                    <w:tc>
                      <w:tcPr/>
                      <w:p>
                        <w:pPr>
                          <w:pStyle w:val="Compact"/>
                          <w:jc w:val="right"/>
                          <w:jc w:val="center"/>
                        </w:pPr>
                        <w:r>
                          <w:t xml:space="preserve">4.7</w:t>
                        </w:r>
                      </w:p>
                    </w:tc>
                    <w:tc>
                      <w:tcPr/>
                      <w:p>
                        <w:pPr>
                          <w:pStyle w:val="Compact"/>
                          <w:jc w:val="right"/>
                          <w:jc w:val="center"/>
                        </w:pPr>
                        <w:r>
                          <w:t xml:space="preserve">93.0</w:t>
                        </w:r>
                      </w:p>
                    </w:tc>
                    <w:tc>
                      <w:tcPr/>
                      <w:p>
                        <w:pPr>
                          <w:pStyle w:val="Compact"/>
                          <w:jc w:val="right"/>
                          <w:jc w:val="center"/>
                        </w:pPr>
                        <w:r>
                          <w:t xml:space="preserve">8.0</w:t>
                        </w:r>
                      </w:p>
                    </w:tc>
                    <w:tc>
                      <w:tcPr/>
                      <w:p>
                        <w:pPr>
                          <w:pStyle w:val="Compact"/>
                          <w:jc w:val="right"/>
                          <w:jc w:val="center"/>
                        </w:pPr>
                        <w:r>
                          <w:t xml:space="preserve">76.4</w:t>
                        </w:r>
                      </w:p>
                    </w:tc>
                  </w:tr>
                </w:tbl>
                <w:bookmarkEnd w:id="106"/>
                <w:bookmarkEnd w:id="107"/>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109" w:name="tbl-irb0mis-2"/>
                <w:p>
                  <w:pPr>
                    <w:jc w:val="center"/>
                  </w:pPr>
                  <w:pPr>
                    <w:jc w:val="start"/>
                    <w:spacing w:before="200"/>
                    <w:pStyle w:val="ImageCaption"/>
                  </w:pPr>
                  <w:r>
                    <w:t xml:space="preserve">(b) False positives</w:t>
                  </w:r>
                </w:p>
                <w:bookmarkStart w:id="108" w:name="tbl-irb0mis-2"/>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jc w:val="center"/>
                        </w:pPr>
                        <w:r>
                          <w:t xml:space="preserve">Item</w:t>
                        </w:r>
                      </w:p>
                    </w:tc>
                    <w:tc>
                      <w:tcPr/>
                      <w:p>
                        <w:pPr>
                          <w:pStyle w:val="Compact"/>
                          <w:jc w:val="right"/>
                          <w:jc w:val="center"/>
                        </w:pPr>
                        <w:r>
                          <w:t xml:space="preserve">Median</w:t>
                        </w:r>
                      </w:p>
                    </w:tc>
                    <w:tc>
                      <w:tcPr/>
                      <w:p>
                        <w:pPr>
                          <w:pStyle w:val="Compact"/>
                          <w:jc w:val="right"/>
                          <w:jc w:val="center"/>
                        </w:pPr>
                        <w:r>
                          <w:t xml:space="preserve">MAD</w:t>
                        </w:r>
                      </w:p>
                    </w:tc>
                    <w:tc>
                      <w:tcPr/>
                      <w:p>
                        <w:pPr>
                          <w:pStyle w:val="Compact"/>
                          <w:jc w:val="right"/>
                          <w:jc w:val="center"/>
                        </w:pPr>
                        <w:r>
                          <w:t xml:space="preserve">Mean</w:t>
                        </w:r>
                      </w:p>
                    </w:tc>
                    <w:tc>
                      <w:tcPr/>
                      <w:p>
                        <w:pPr>
                          <w:pStyle w:val="Compact"/>
                          <w:jc w:val="right"/>
                          <w:jc w:val="center"/>
                        </w:pPr>
                        <w:r>
                          <w:t xml:space="preserve">SD</w:t>
                        </w:r>
                      </w:p>
                    </w:tc>
                    <w:tc>
                      <w:tcPr/>
                      <w:p>
                        <w:pPr>
                          <w:pStyle w:val="Compact"/>
                          <w:jc w:val="right"/>
                          <w:jc w:val="center"/>
                        </w:pPr>
                        <w:r>
                          <w:t xml:space="preserve">Percentile .95</w:t>
                        </w:r>
                      </w:p>
                    </w:tc>
                  </w:tr>
                  <w:tr>
                    <w:tc>
                      <w:tcPr/>
                      <w:p>
                        <w:pPr>
                          <w:pStyle w:val="Compact"/>
                          <w:jc w:val="left"/>
                          <w:jc w:val="center"/>
                        </w:pPr>
                        <w:r>
                          <w:t xml:space="preserve">V2</w:t>
                        </w:r>
                      </w:p>
                    </w:tc>
                    <w:tc>
                      <w:tcPr/>
                      <w:p>
                        <w:pPr>
                          <w:pStyle w:val="Compact"/>
                          <w:jc w:val="right"/>
                          <w:jc w:val="center"/>
                        </w:pPr>
                        <w:r>
                          <w:t xml:space="preserve">20.0</w:t>
                        </w:r>
                      </w:p>
                    </w:tc>
                    <w:tc>
                      <w:tcPr/>
                      <w:p>
                        <w:pPr>
                          <w:pStyle w:val="Compact"/>
                          <w:jc w:val="right"/>
                          <w:jc w:val="center"/>
                        </w:pPr>
                        <w:r>
                          <w:t xml:space="preserve">15.4</w:t>
                        </w:r>
                      </w:p>
                    </w:tc>
                    <w:tc>
                      <w:tcPr/>
                      <w:p>
                        <w:pPr>
                          <w:pStyle w:val="Compact"/>
                          <w:jc w:val="right"/>
                          <w:jc w:val="center"/>
                        </w:pPr>
                        <w:r>
                          <w:t xml:space="preserve">24.3</w:t>
                        </w:r>
                      </w:p>
                    </w:tc>
                    <w:tc>
                      <w:tcPr/>
                      <w:p>
                        <w:pPr>
                          <w:pStyle w:val="Compact"/>
                          <w:jc w:val="right"/>
                          <w:jc w:val="center"/>
                        </w:pPr>
                        <w:r>
                          <w:t xml:space="preserve">16.7</w:t>
                        </w:r>
                      </w:p>
                    </w:tc>
                    <w:tc>
                      <w:tcPr/>
                      <w:p>
                        <w:pPr>
                          <w:pStyle w:val="Compact"/>
                          <w:jc w:val="right"/>
                          <w:jc w:val="center"/>
                        </w:pPr>
                        <w:r>
                          <w:t xml:space="preserve">58.8</w:t>
                        </w:r>
                      </w:p>
                    </w:tc>
                  </w:tr>
                  <w:tr>
                    <w:tc>
                      <w:tcPr/>
                      <w:p>
                        <w:pPr>
                          <w:pStyle w:val="Compact"/>
                          <w:jc w:val="left"/>
                          <w:jc w:val="center"/>
                        </w:pPr>
                        <w:r>
                          <w:t xml:space="preserve">V6</w:t>
                        </w:r>
                      </w:p>
                    </w:tc>
                    <w:tc>
                      <w:tcPr/>
                      <w:p>
                        <w:pPr>
                          <w:pStyle w:val="Compact"/>
                          <w:jc w:val="right"/>
                          <w:jc w:val="center"/>
                        </w:pPr>
                        <w:r>
                          <w:t xml:space="preserve">18.4</w:t>
                        </w:r>
                      </w:p>
                    </w:tc>
                    <w:tc>
                      <w:tcPr/>
                      <w:p>
                        <w:pPr>
                          <w:pStyle w:val="Compact"/>
                          <w:jc w:val="right"/>
                          <w:jc w:val="center"/>
                        </w:pPr>
                        <w:r>
                          <w:t xml:space="preserve">14.2</w:t>
                        </w:r>
                      </w:p>
                    </w:tc>
                    <w:tc>
                      <w:tcPr/>
                      <w:p>
                        <w:pPr>
                          <w:pStyle w:val="Compact"/>
                          <w:jc w:val="right"/>
                          <w:jc w:val="center"/>
                        </w:pPr>
                        <w:r>
                          <w:t xml:space="preserve">21.3</w:t>
                        </w:r>
                      </w:p>
                    </w:tc>
                    <w:tc>
                      <w:tcPr/>
                      <w:p>
                        <w:pPr>
                          <w:pStyle w:val="Compact"/>
                          <w:jc w:val="right"/>
                          <w:jc w:val="center"/>
                        </w:pPr>
                        <w:r>
                          <w:t xml:space="preserve">14.9</w:t>
                        </w:r>
                      </w:p>
                    </w:tc>
                    <w:tc>
                      <w:tcPr/>
                      <w:p>
                        <w:pPr>
                          <w:pStyle w:val="Compact"/>
                          <w:jc w:val="right"/>
                          <w:jc w:val="center"/>
                        </w:pPr>
                        <w:r>
                          <w:t xml:space="preserve">52.8</w:t>
                        </w:r>
                      </w:p>
                    </w:tc>
                  </w:tr>
                  <w:tr>
                    <w:tc>
                      <w:tcPr/>
                      <w:p>
                        <w:pPr>
                          <w:pStyle w:val="Compact"/>
                          <w:jc w:val="left"/>
                          <w:jc w:val="center"/>
                        </w:pPr>
                        <w:r>
                          <w:t xml:space="preserve">V8</w:t>
                        </w:r>
                      </w:p>
                    </w:tc>
                    <w:tc>
                      <w:tcPr/>
                      <w:p>
                        <w:pPr>
                          <w:pStyle w:val="Compact"/>
                          <w:jc w:val="right"/>
                          <w:jc w:val="center"/>
                        </w:pPr>
                        <w:r>
                          <w:t xml:space="preserve">14.4</w:t>
                        </w:r>
                      </w:p>
                    </w:tc>
                    <w:tc>
                      <w:tcPr/>
                      <w:p>
                        <w:pPr>
                          <w:pStyle w:val="Compact"/>
                          <w:jc w:val="right"/>
                          <w:jc w:val="center"/>
                        </w:pPr>
                        <w:r>
                          <w:t xml:space="preserve">12.5</w:t>
                        </w:r>
                      </w:p>
                    </w:tc>
                    <w:tc>
                      <w:tcPr/>
                      <w:p>
                        <w:pPr>
                          <w:pStyle w:val="Compact"/>
                          <w:jc w:val="right"/>
                          <w:jc w:val="center"/>
                        </w:pPr>
                        <w:r>
                          <w:t xml:space="preserve">19.7</w:t>
                        </w:r>
                      </w:p>
                    </w:tc>
                    <w:tc>
                      <w:tcPr/>
                      <w:p>
                        <w:pPr>
                          <w:pStyle w:val="Compact"/>
                          <w:jc w:val="right"/>
                          <w:jc w:val="center"/>
                        </w:pPr>
                        <w:r>
                          <w:t xml:space="preserve">15.6</w:t>
                        </w:r>
                      </w:p>
                    </w:tc>
                    <w:tc>
                      <w:tcPr/>
                      <w:p>
                        <w:pPr>
                          <w:pStyle w:val="Compact"/>
                          <w:jc w:val="right"/>
                          <w:jc w:val="center"/>
                        </w:pPr>
                        <w:r>
                          <w:t xml:space="preserve">51.6</w:t>
                        </w:r>
                      </w:p>
                    </w:tc>
                  </w:tr>
                  <w:tr>
                    <w:tc>
                      <w:tcPr/>
                      <w:p>
                        <w:pPr>
                          <w:pStyle w:val="Compact"/>
                          <w:jc w:val="left"/>
                          <w:jc w:val="center"/>
                        </w:pPr>
                        <w:r>
                          <w:t xml:space="preserve">V11</w:t>
                        </w:r>
                      </w:p>
                    </w:tc>
                    <w:tc>
                      <w:tcPr/>
                      <w:p>
                        <w:pPr>
                          <w:pStyle w:val="Compact"/>
                          <w:jc w:val="right"/>
                          <w:jc w:val="center"/>
                        </w:pPr>
                        <w:r>
                          <w:t xml:space="preserve">14.0</w:t>
                        </w:r>
                      </w:p>
                    </w:tc>
                    <w:tc>
                      <w:tcPr/>
                      <w:p>
                        <w:pPr>
                          <w:pStyle w:val="Compact"/>
                          <w:jc w:val="right"/>
                          <w:jc w:val="center"/>
                        </w:pPr>
                        <w:r>
                          <w:t xml:space="preserve">11.9</w:t>
                        </w:r>
                      </w:p>
                    </w:tc>
                    <w:tc>
                      <w:tcPr/>
                      <w:p>
                        <w:pPr>
                          <w:pStyle w:val="Compact"/>
                          <w:jc w:val="right"/>
                          <w:jc w:val="center"/>
                        </w:pPr>
                        <w:r>
                          <w:t xml:space="preserve">17.6</w:t>
                        </w:r>
                      </w:p>
                    </w:tc>
                    <w:tc>
                      <w:tcPr/>
                      <w:p>
                        <w:pPr>
                          <w:pStyle w:val="Compact"/>
                          <w:jc w:val="right"/>
                          <w:jc w:val="center"/>
                        </w:pPr>
                        <w:r>
                          <w:t xml:space="preserve">13.9</w:t>
                        </w:r>
                      </w:p>
                    </w:tc>
                    <w:tc>
                      <w:tcPr/>
                      <w:p>
                        <w:pPr>
                          <w:pStyle w:val="Compact"/>
                          <w:jc w:val="right"/>
                          <w:jc w:val="center"/>
                        </w:pPr>
                        <w:r>
                          <w:t xml:space="preserve">47.7</w:t>
                        </w:r>
                      </w:p>
                    </w:tc>
                  </w:tr>
                  <w:tr>
                    <w:tc>
                      <w:tcPr/>
                      <w:p>
                        <w:pPr>
                          <w:pStyle w:val="Compact"/>
                          <w:jc w:val="left"/>
                          <w:jc w:val="center"/>
                        </w:pPr>
                        <w:r>
                          <w:t xml:space="preserve">V15</w:t>
                        </w:r>
                      </w:p>
                    </w:tc>
                    <w:tc>
                      <w:tcPr/>
                      <w:p>
                        <w:pPr>
                          <w:pStyle w:val="Compact"/>
                          <w:jc w:val="right"/>
                          <w:jc w:val="center"/>
                        </w:pPr>
                        <w:r>
                          <w:t xml:space="preserve">13.2</w:t>
                        </w:r>
                      </w:p>
                    </w:tc>
                    <w:tc>
                      <w:tcPr/>
                      <w:p>
                        <w:pPr>
                          <w:pStyle w:val="Compact"/>
                          <w:jc w:val="right"/>
                          <w:jc w:val="center"/>
                        </w:pPr>
                        <w:r>
                          <w:t xml:space="preserve">10.1</w:t>
                        </w:r>
                      </w:p>
                    </w:tc>
                    <w:tc>
                      <w:tcPr/>
                      <w:p>
                        <w:pPr>
                          <w:pStyle w:val="Compact"/>
                          <w:jc w:val="right"/>
                          <w:jc w:val="center"/>
                        </w:pPr>
                        <w:r>
                          <w:t xml:space="preserve">16.6</w:t>
                        </w:r>
                      </w:p>
                    </w:tc>
                    <w:tc>
                      <w:tcPr/>
                      <w:p>
                        <w:pPr>
                          <w:pStyle w:val="Compact"/>
                          <w:jc w:val="right"/>
                          <w:jc w:val="center"/>
                        </w:pPr>
                        <w:r>
                          <w:t xml:space="preserve">13.4</w:t>
                        </w:r>
                      </w:p>
                    </w:tc>
                    <w:tc>
                      <w:tcPr/>
                      <w:p>
                        <w:pPr>
                          <w:pStyle w:val="Compact"/>
                          <w:jc w:val="right"/>
                          <w:jc w:val="center"/>
                        </w:pPr>
                        <w:r>
                          <w:t xml:space="preserve">45.2</w:t>
                        </w:r>
                      </w:p>
                    </w:tc>
                  </w:tr>
                  <w:tr>
                    <w:tc>
                      <w:tcPr/>
                      <w:p>
                        <w:pPr>
                          <w:pStyle w:val="Compact"/>
                          <w:jc w:val="left"/>
                          <w:jc w:val="center"/>
                        </w:pPr>
                        <w:r>
                          <w:t xml:space="preserve">V20</w:t>
                        </w:r>
                      </w:p>
                    </w:tc>
                    <w:tc>
                      <w:tcPr/>
                      <w:p>
                        <w:pPr>
                          <w:pStyle w:val="Compact"/>
                          <w:jc w:val="right"/>
                          <w:jc w:val="center"/>
                        </w:pPr>
                        <w:r>
                          <w:t xml:space="preserve">16.4</w:t>
                        </w:r>
                      </w:p>
                    </w:tc>
                    <w:tc>
                      <w:tcPr/>
                      <w:p>
                        <w:pPr>
                          <w:pStyle w:val="Compact"/>
                          <w:jc w:val="right"/>
                          <w:jc w:val="center"/>
                        </w:pPr>
                        <w:r>
                          <w:t xml:space="preserve">13.6</w:t>
                        </w:r>
                      </w:p>
                    </w:tc>
                    <w:tc>
                      <w:tcPr/>
                      <w:p>
                        <w:pPr>
                          <w:pStyle w:val="Compact"/>
                          <w:jc w:val="right"/>
                          <w:jc w:val="center"/>
                        </w:pPr>
                        <w:r>
                          <w:t xml:space="preserve">19.5</w:t>
                        </w:r>
                      </w:p>
                    </w:tc>
                    <w:tc>
                      <w:tcPr/>
                      <w:p>
                        <w:pPr>
                          <w:pStyle w:val="Compact"/>
                          <w:jc w:val="right"/>
                          <w:jc w:val="center"/>
                        </w:pPr>
                        <w:r>
                          <w:t xml:space="preserve">13.9</w:t>
                        </w:r>
                      </w:p>
                    </w:tc>
                    <w:tc>
                      <w:tcPr/>
                      <w:p>
                        <w:pPr>
                          <w:pStyle w:val="Compact"/>
                          <w:jc w:val="right"/>
                          <w:jc w:val="center"/>
                        </w:pPr>
                        <w:r>
                          <w:t xml:space="preserve">45.2</w:t>
                        </w:r>
                      </w:p>
                    </w:tc>
                  </w:tr>
                  <w:tr>
                    <w:tc>
                      <w:tcPr/>
                      <w:p>
                        <w:pPr>
                          <w:pStyle w:val="Compact"/>
                          <w:jc w:val="left"/>
                          <w:jc w:val="center"/>
                        </w:pPr>
                        <w:r>
                          <w:t xml:space="preserve">V5</w:t>
                        </w:r>
                      </w:p>
                    </w:tc>
                    <w:tc>
                      <w:tcPr/>
                      <w:p>
                        <w:pPr>
                          <w:pStyle w:val="Compact"/>
                          <w:jc w:val="right"/>
                          <w:jc w:val="center"/>
                        </w:pPr>
                        <w:r>
                          <w:t xml:space="preserve">12.0</w:t>
                        </w:r>
                      </w:p>
                    </w:tc>
                    <w:tc>
                      <w:tcPr/>
                      <w:p>
                        <w:pPr>
                          <w:pStyle w:val="Compact"/>
                          <w:jc w:val="right"/>
                          <w:jc w:val="center"/>
                        </w:pPr>
                        <w:r>
                          <w:t xml:space="preserve">10.1</w:t>
                        </w:r>
                      </w:p>
                    </w:tc>
                    <w:tc>
                      <w:tcPr/>
                      <w:p>
                        <w:pPr>
                          <w:pStyle w:val="Compact"/>
                          <w:jc w:val="right"/>
                          <w:jc w:val="center"/>
                        </w:pPr>
                        <w:r>
                          <w:t xml:space="preserve">15.7</w:t>
                        </w:r>
                      </w:p>
                    </w:tc>
                    <w:tc>
                      <w:tcPr/>
                      <w:p>
                        <w:pPr>
                          <w:pStyle w:val="Compact"/>
                          <w:jc w:val="right"/>
                          <w:jc w:val="center"/>
                        </w:pPr>
                        <w:r>
                          <w:t xml:space="preserve">12.6</w:t>
                        </w:r>
                      </w:p>
                    </w:tc>
                    <w:tc>
                      <w:tcPr/>
                      <w:p>
                        <w:pPr>
                          <w:pStyle w:val="Compact"/>
                          <w:jc w:val="right"/>
                          <w:jc w:val="center"/>
                        </w:pPr>
                        <w:r>
                          <w:t xml:space="preserve">44.4</w:t>
                        </w:r>
                      </w:p>
                    </w:tc>
                  </w:tr>
                  <w:tr>
                    <w:tc>
                      <w:tcPr/>
                      <w:p>
                        <w:pPr>
                          <w:pStyle w:val="Compact"/>
                          <w:jc w:val="left"/>
                          <w:jc w:val="center"/>
                        </w:pPr>
                        <w:r>
                          <w:t xml:space="preserve">V10</w:t>
                        </w:r>
                      </w:p>
                    </w:tc>
                    <w:tc>
                      <w:tcPr/>
                      <w:p>
                        <w:pPr>
                          <w:pStyle w:val="Compact"/>
                          <w:jc w:val="right"/>
                          <w:jc w:val="center"/>
                        </w:pPr>
                        <w:r>
                          <w:t xml:space="preserve">13.2</w:t>
                        </w:r>
                      </w:p>
                    </w:tc>
                    <w:tc>
                      <w:tcPr/>
                      <w:p>
                        <w:pPr>
                          <w:pStyle w:val="Compact"/>
                          <w:jc w:val="right"/>
                          <w:jc w:val="center"/>
                        </w:pPr>
                        <w:r>
                          <w:t xml:space="preserve">11.3</w:t>
                        </w:r>
                      </w:p>
                    </w:tc>
                    <w:tc>
                      <w:tcPr/>
                      <w:p>
                        <w:pPr>
                          <w:pStyle w:val="Compact"/>
                          <w:jc w:val="right"/>
                          <w:jc w:val="center"/>
                        </w:pPr>
                        <w:r>
                          <w:t xml:space="preserve">16.4</w:t>
                        </w:r>
                      </w:p>
                    </w:tc>
                    <w:tc>
                      <w:tcPr/>
                      <w:p>
                        <w:pPr>
                          <w:pStyle w:val="Compact"/>
                          <w:jc w:val="right"/>
                          <w:jc w:val="center"/>
                        </w:pPr>
                        <w:r>
                          <w:t xml:space="preserve">13.0</w:t>
                        </w:r>
                      </w:p>
                    </w:tc>
                    <w:tc>
                      <w:tcPr/>
                      <w:p>
                        <w:pPr>
                          <w:pStyle w:val="Compact"/>
                          <w:jc w:val="right"/>
                          <w:jc w:val="center"/>
                        </w:pPr>
                        <w:r>
                          <w:t xml:space="preserve">42.4</w:t>
                        </w:r>
                      </w:p>
                    </w:tc>
                  </w:tr>
                  <w:tr>
                    <w:tc>
                      <w:tcPr/>
                      <w:p>
                        <w:pPr>
                          <w:pStyle w:val="Compact"/>
                          <w:jc w:val="left"/>
                          <w:jc w:val="center"/>
                        </w:pPr>
                        <w:r>
                          <w:t xml:space="preserve">V16</w:t>
                        </w:r>
                      </w:p>
                    </w:tc>
                    <w:tc>
                      <w:tcPr/>
                      <w:p>
                        <w:pPr>
                          <w:pStyle w:val="Compact"/>
                          <w:jc w:val="right"/>
                          <w:jc w:val="center"/>
                        </w:pPr>
                        <w:r>
                          <w:t xml:space="preserve">11.4</w:t>
                        </w:r>
                      </w:p>
                    </w:tc>
                    <w:tc>
                      <w:tcPr/>
                      <w:p>
                        <w:pPr>
                          <w:pStyle w:val="Compact"/>
                          <w:jc w:val="right"/>
                          <w:jc w:val="center"/>
                        </w:pPr>
                        <w:r>
                          <w:t xml:space="preserve">10.4</w:t>
                        </w:r>
                      </w:p>
                    </w:tc>
                    <w:tc>
                      <w:tcPr/>
                      <w:p>
                        <w:pPr>
                          <w:pStyle w:val="Compact"/>
                          <w:jc w:val="right"/>
                          <w:jc w:val="center"/>
                        </w:pPr>
                        <w:r>
                          <w:t xml:space="preserve">15.2</w:t>
                        </w:r>
                      </w:p>
                    </w:tc>
                    <w:tc>
                      <w:tcPr/>
                      <w:p>
                        <w:pPr>
                          <w:pStyle w:val="Compact"/>
                          <w:jc w:val="right"/>
                          <w:jc w:val="center"/>
                        </w:pPr>
                        <w:r>
                          <w:t xml:space="preserve">13.0</w:t>
                        </w:r>
                      </w:p>
                    </w:tc>
                    <w:tc>
                      <w:tcPr/>
                      <w:p>
                        <w:pPr>
                          <w:pStyle w:val="Compact"/>
                          <w:jc w:val="right"/>
                          <w:jc w:val="center"/>
                        </w:pPr>
                        <w:r>
                          <w:t xml:space="preserve">42.0</w:t>
                        </w:r>
                      </w:p>
                    </w:tc>
                  </w:tr>
                  <w:tr>
                    <w:tc>
                      <w:tcPr/>
                      <w:p>
                        <w:pPr>
                          <w:pStyle w:val="Compact"/>
                          <w:jc w:val="left"/>
                          <w:jc w:val="center"/>
                        </w:pPr>
                        <w:r>
                          <w:t xml:space="preserve">V7</w:t>
                        </w:r>
                      </w:p>
                    </w:tc>
                    <w:tc>
                      <w:tcPr/>
                      <w:p>
                        <w:pPr>
                          <w:pStyle w:val="Compact"/>
                          <w:jc w:val="right"/>
                          <w:jc w:val="center"/>
                        </w:pPr>
                        <w:r>
                          <w:t xml:space="preserve">13.2</w:t>
                        </w:r>
                      </w:p>
                    </w:tc>
                    <w:tc>
                      <w:tcPr/>
                      <w:p>
                        <w:pPr>
                          <w:pStyle w:val="Compact"/>
                          <w:jc w:val="right"/>
                          <w:jc w:val="center"/>
                        </w:pPr>
                        <w:r>
                          <w:t xml:space="preserve">11.9</w:t>
                        </w:r>
                      </w:p>
                    </w:tc>
                    <w:tc>
                      <w:tcPr/>
                      <w:p>
                        <w:pPr>
                          <w:pStyle w:val="Compact"/>
                          <w:jc w:val="right"/>
                          <w:jc w:val="center"/>
                        </w:pPr>
                        <w:r>
                          <w:t xml:space="preserve">16.7</w:t>
                        </w:r>
                      </w:p>
                    </w:tc>
                    <w:tc>
                      <w:tcPr/>
                      <w:p>
                        <w:pPr>
                          <w:pStyle w:val="Compact"/>
                          <w:jc w:val="right"/>
                          <w:jc w:val="center"/>
                        </w:pPr>
                        <w:r>
                          <w:t xml:space="preserve">12.6</w:t>
                        </w:r>
                      </w:p>
                    </w:tc>
                    <w:tc>
                      <w:tcPr/>
                      <w:p>
                        <w:pPr>
                          <w:pStyle w:val="Compact"/>
                          <w:jc w:val="right"/>
                          <w:jc w:val="center"/>
                        </w:pPr>
                        <w:r>
                          <w:t xml:space="preserve">41.6</w:t>
                        </w:r>
                      </w:p>
                    </w:tc>
                  </w:tr>
                  <w:tr>
                    <w:tc>
                      <w:tcPr/>
                      <w:p>
                        <w:pPr>
                          <w:pStyle w:val="Compact"/>
                          <w:jc w:val="left"/>
                          <w:jc w:val="center"/>
                        </w:pPr>
                        <w:r>
                          <w:t xml:space="preserve">V1</w:t>
                        </w:r>
                      </w:p>
                    </w:tc>
                    <w:tc>
                      <w:tcPr/>
                      <w:p>
                        <w:pPr>
                          <w:pStyle w:val="Compact"/>
                          <w:jc w:val="right"/>
                          <w:jc w:val="center"/>
                        </w:pPr>
                        <w:r>
                          <w:t xml:space="preserve">12.0</w:t>
                        </w:r>
                      </w:p>
                    </w:tc>
                    <w:tc>
                      <w:tcPr/>
                      <w:p>
                        <w:pPr>
                          <w:pStyle w:val="Compact"/>
                          <w:jc w:val="right"/>
                          <w:jc w:val="center"/>
                        </w:pPr>
                        <w:r>
                          <w:t xml:space="preserve">10.1</w:t>
                        </w:r>
                      </w:p>
                    </w:tc>
                    <w:tc>
                      <w:tcPr/>
                      <w:p>
                        <w:pPr>
                          <w:pStyle w:val="Compact"/>
                          <w:jc w:val="right"/>
                          <w:jc w:val="center"/>
                        </w:pPr>
                        <w:r>
                          <w:t xml:space="preserve">15.5</w:t>
                        </w:r>
                      </w:p>
                    </w:tc>
                    <w:tc>
                      <w:tcPr/>
                      <w:p>
                        <w:pPr>
                          <w:pStyle w:val="Compact"/>
                          <w:jc w:val="right"/>
                          <w:jc w:val="center"/>
                        </w:pPr>
                        <w:r>
                          <w:t xml:space="preserve">12.8</w:t>
                        </w:r>
                      </w:p>
                    </w:tc>
                    <w:tc>
                      <w:tcPr/>
                      <w:p>
                        <w:pPr>
                          <w:pStyle w:val="Compact"/>
                          <w:jc w:val="right"/>
                          <w:jc w:val="center"/>
                        </w:pPr>
                        <w:r>
                          <w:t xml:space="preserve">41.3</w:t>
                        </w:r>
                      </w:p>
                    </w:tc>
                  </w:tr>
                  <w:tr>
                    <w:tc>
                      <w:tcPr/>
                      <w:p>
                        <w:pPr>
                          <w:pStyle w:val="Compact"/>
                          <w:jc w:val="left"/>
                          <w:jc w:val="center"/>
                        </w:pPr>
                        <w:r>
                          <w:t xml:space="preserve">V3</w:t>
                        </w:r>
                      </w:p>
                    </w:tc>
                    <w:tc>
                      <w:tcPr/>
                      <w:p>
                        <w:pPr>
                          <w:pStyle w:val="Compact"/>
                          <w:jc w:val="right"/>
                          <w:jc w:val="center"/>
                        </w:pPr>
                        <w:r>
                          <w:t xml:space="preserve">10.8</w:t>
                        </w:r>
                      </w:p>
                    </w:tc>
                    <w:tc>
                      <w:tcPr/>
                      <w:p>
                        <w:pPr>
                          <w:pStyle w:val="Compact"/>
                          <w:jc w:val="right"/>
                          <w:jc w:val="center"/>
                        </w:pPr>
                        <w:r>
                          <w:t xml:space="preserve">9.5</w:t>
                        </w:r>
                      </w:p>
                    </w:tc>
                    <w:tc>
                      <w:tcPr/>
                      <w:p>
                        <w:pPr>
                          <w:pStyle w:val="Compact"/>
                          <w:jc w:val="right"/>
                          <w:jc w:val="center"/>
                        </w:pPr>
                        <w:r>
                          <w:t xml:space="preserve">13.6</w:t>
                        </w:r>
                      </w:p>
                    </w:tc>
                    <w:tc>
                      <w:tcPr/>
                      <w:p>
                        <w:pPr>
                          <w:pStyle w:val="Compact"/>
                          <w:jc w:val="right"/>
                          <w:jc w:val="center"/>
                        </w:pPr>
                        <w:r>
                          <w:t xml:space="preserve">11.2</w:t>
                        </w:r>
                      </w:p>
                    </w:tc>
                    <w:tc>
                      <w:tcPr/>
                      <w:p>
                        <w:pPr>
                          <w:pStyle w:val="Compact"/>
                          <w:jc w:val="right"/>
                          <w:jc w:val="center"/>
                        </w:pPr>
                        <w:r>
                          <w:t xml:space="preserve">36.1</w:t>
                        </w:r>
                      </w:p>
                    </w:tc>
                  </w:tr>
                  <w:tr>
                    <w:tc>
                      <w:tcPr/>
                      <w:p>
                        <w:pPr>
                          <w:pStyle w:val="Compact"/>
                          <w:jc w:val="left"/>
                          <w:jc w:val="center"/>
                        </w:pPr>
                        <w:r>
                          <w:t xml:space="preserve">V14</w:t>
                        </w:r>
                      </w:p>
                    </w:tc>
                    <w:tc>
                      <w:tcPr/>
                      <w:p>
                        <w:pPr>
                          <w:pStyle w:val="Compact"/>
                          <w:jc w:val="right"/>
                          <w:jc w:val="center"/>
                        </w:pPr>
                        <w:r>
                          <w:t xml:space="preserve">7.2</w:t>
                        </w:r>
                      </w:p>
                    </w:tc>
                    <w:tc>
                      <w:tcPr/>
                      <w:p>
                        <w:pPr>
                          <w:pStyle w:val="Compact"/>
                          <w:jc w:val="right"/>
                          <w:jc w:val="center"/>
                        </w:pPr>
                        <w:r>
                          <w:t xml:space="preserve">6.5</w:t>
                        </w:r>
                      </w:p>
                    </w:tc>
                    <w:tc>
                      <w:tcPr/>
                      <w:p>
                        <w:pPr>
                          <w:pStyle w:val="Compact"/>
                          <w:jc w:val="right"/>
                          <w:jc w:val="center"/>
                        </w:pPr>
                        <w:r>
                          <w:t xml:space="preserve">10.4</w:t>
                        </w:r>
                      </w:p>
                    </w:tc>
                    <w:tc>
                      <w:tcPr/>
                      <w:p>
                        <w:pPr>
                          <w:pStyle w:val="Compact"/>
                          <w:jc w:val="right"/>
                          <w:jc w:val="center"/>
                        </w:pPr>
                        <w:r>
                          <w:t xml:space="preserve">10.1</w:t>
                        </w:r>
                      </w:p>
                    </w:tc>
                    <w:tc>
                      <w:tcPr/>
                      <w:p>
                        <w:pPr>
                          <w:pStyle w:val="Compact"/>
                          <w:jc w:val="right"/>
                          <w:jc w:val="center"/>
                        </w:pPr>
                        <w:r>
                          <w:t xml:space="preserve">30.7</w:t>
                        </w:r>
                      </w:p>
                    </w:tc>
                  </w:tr>
                  <w:tr>
                    <w:tc>
                      <w:tcPr/>
                      <w:p>
                        <w:pPr>
                          <w:pStyle w:val="Compact"/>
                          <w:jc w:val="left"/>
                          <w:jc w:val="center"/>
                        </w:pPr>
                        <w:r>
                          <w:t xml:space="preserve">V12</w:t>
                        </w:r>
                      </w:p>
                    </w:tc>
                    <w:tc>
                      <w:tcPr/>
                      <w:p>
                        <w:pPr>
                          <w:pStyle w:val="Compact"/>
                          <w:jc w:val="right"/>
                          <w:jc w:val="center"/>
                        </w:pPr>
                        <w:r>
                          <w:t xml:space="preserve">7.6</w:t>
                        </w:r>
                      </w:p>
                    </w:tc>
                    <w:tc>
                      <w:tcPr/>
                      <w:p>
                        <w:pPr>
                          <w:pStyle w:val="Compact"/>
                          <w:jc w:val="right"/>
                          <w:jc w:val="center"/>
                        </w:pPr>
                        <w:r>
                          <w:t xml:space="preserve">7.7</w:t>
                        </w:r>
                      </w:p>
                    </w:tc>
                    <w:tc>
                      <w:tcPr/>
                      <w:p>
                        <w:pPr>
                          <w:pStyle w:val="Compact"/>
                          <w:jc w:val="right"/>
                          <w:jc w:val="center"/>
                        </w:pPr>
                        <w:r>
                          <w:t xml:space="preserve">10.4</w:t>
                        </w:r>
                      </w:p>
                    </w:tc>
                    <w:tc>
                      <w:tcPr/>
                      <w:p>
                        <w:pPr>
                          <w:pStyle w:val="Compact"/>
                          <w:jc w:val="right"/>
                          <w:jc w:val="center"/>
                        </w:pPr>
                        <w:r>
                          <w:t xml:space="preserve">9.5</w:t>
                        </w:r>
                      </w:p>
                    </w:tc>
                    <w:tc>
                      <w:tcPr/>
                      <w:p>
                        <w:pPr>
                          <w:pStyle w:val="Compact"/>
                          <w:jc w:val="right"/>
                          <w:jc w:val="center"/>
                        </w:pPr>
                        <w:r>
                          <w:t xml:space="preserve">29.7</w:t>
                        </w:r>
                      </w:p>
                    </w:tc>
                  </w:tr>
                  <w:tr>
                    <w:tc>
                      <w:tcPr/>
                      <w:p>
                        <w:pPr>
                          <w:pStyle w:val="Compact"/>
                          <w:jc w:val="left"/>
                          <w:jc w:val="center"/>
                        </w:pPr>
                        <w:r>
                          <w:t xml:space="preserve">V4</w:t>
                        </w:r>
                      </w:p>
                    </w:tc>
                    <w:tc>
                      <w:tcPr/>
                      <w:p>
                        <w:pPr>
                          <w:pStyle w:val="Compact"/>
                          <w:jc w:val="right"/>
                          <w:jc w:val="center"/>
                        </w:pPr>
                        <w:r>
                          <w:t xml:space="preserve">7.2</w:t>
                        </w:r>
                      </w:p>
                    </w:tc>
                    <w:tc>
                      <w:tcPr/>
                      <w:p>
                        <w:pPr>
                          <w:pStyle w:val="Compact"/>
                          <w:jc w:val="right"/>
                          <w:jc w:val="center"/>
                        </w:pPr>
                        <w:r>
                          <w:t xml:space="preserve">6.5</w:t>
                        </w:r>
                      </w:p>
                    </w:tc>
                    <w:tc>
                      <w:tcPr/>
                      <w:p>
                        <w:pPr>
                          <w:pStyle w:val="Compact"/>
                          <w:jc w:val="right"/>
                          <w:jc w:val="center"/>
                        </w:pPr>
                        <w:r>
                          <w:t xml:space="preserve">10.2</w:t>
                        </w:r>
                      </w:p>
                    </w:tc>
                    <w:tc>
                      <w:tcPr/>
                      <w:p>
                        <w:pPr>
                          <w:pStyle w:val="Compact"/>
                          <w:jc w:val="right"/>
                          <w:jc w:val="center"/>
                        </w:pPr>
                        <w:r>
                          <w:t xml:space="preserve">9.5</w:t>
                        </w:r>
                      </w:p>
                    </w:tc>
                    <w:tc>
                      <w:tcPr/>
                      <w:p>
                        <w:pPr>
                          <w:pStyle w:val="Compact"/>
                          <w:jc w:val="right"/>
                          <w:jc w:val="center"/>
                        </w:pPr>
                        <w:r>
                          <w:t xml:space="preserve">29.3</w:t>
                        </w:r>
                      </w:p>
                    </w:tc>
                  </w:tr>
                  <w:tr>
                    <w:tc>
                      <w:tcPr/>
                      <w:p>
                        <w:pPr>
                          <w:pStyle w:val="Compact"/>
                          <w:jc w:val="left"/>
                          <w:jc w:val="center"/>
                        </w:pPr>
                        <w:r>
                          <w:t xml:space="preserve">V17</w:t>
                        </w:r>
                      </w:p>
                    </w:tc>
                    <w:tc>
                      <w:tcPr/>
                      <w:p>
                        <w:pPr>
                          <w:pStyle w:val="Compact"/>
                          <w:jc w:val="right"/>
                          <w:jc w:val="center"/>
                        </w:pPr>
                        <w:r>
                          <w:t xml:space="preserve">6.4</w:t>
                        </w:r>
                      </w:p>
                    </w:tc>
                    <w:tc>
                      <w:tcPr/>
                      <w:p>
                        <w:pPr>
                          <w:pStyle w:val="Compact"/>
                          <w:jc w:val="right"/>
                          <w:jc w:val="center"/>
                        </w:pPr>
                        <w:r>
                          <w:t xml:space="preserve">6.5</w:t>
                        </w:r>
                      </w:p>
                    </w:tc>
                    <w:tc>
                      <w:tcPr/>
                      <w:p>
                        <w:pPr>
                          <w:pStyle w:val="Compact"/>
                          <w:jc w:val="right"/>
                          <w:jc w:val="center"/>
                        </w:pPr>
                        <w:r>
                          <w:t xml:space="preserve">8.4</w:t>
                        </w:r>
                      </w:p>
                    </w:tc>
                    <w:tc>
                      <w:tcPr/>
                      <w:p>
                        <w:pPr>
                          <w:pStyle w:val="Compact"/>
                          <w:jc w:val="right"/>
                          <w:jc w:val="center"/>
                        </w:pPr>
                        <w:r>
                          <w:t xml:space="preserve">8.0</w:t>
                        </w:r>
                      </w:p>
                    </w:tc>
                    <w:tc>
                      <w:tcPr/>
                      <w:p>
                        <w:pPr>
                          <w:pStyle w:val="Compact"/>
                          <w:jc w:val="right"/>
                          <w:jc w:val="center"/>
                        </w:pPr>
                        <w:r>
                          <w:t xml:space="preserve">24.4</w:t>
                        </w:r>
                      </w:p>
                    </w:tc>
                  </w:tr>
                  <w:tr>
                    <w:tc>
                      <w:tcPr/>
                      <w:p>
                        <w:pPr>
                          <w:pStyle w:val="Compact"/>
                          <w:jc w:val="left"/>
                          <w:jc w:val="center"/>
                        </w:pPr>
                        <w:r>
                          <w:t xml:space="preserve">V19</w:t>
                        </w:r>
                      </w:p>
                    </w:tc>
                    <w:tc>
                      <w:tcPr/>
                      <w:p>
                        <w:pPr>
                          <w:pStyle w:val="Compact"/>
                          <w:jc w:val="right"/>
                          <w:jc w:val="center"/>
                        </w:pPr>
                        <w:r>
                          <w:t xml:space="preserve">2.4</w:t>
                        </w:r>
                      </w:p>
                    </w:tc>
                    <w:tc>
                      <w:tcPr/>
                      <w:p>
                        <w:pPr>
                          <w:pStyle w:val="Compact"/>
                          <w:jc w:val="right"/>
                          <w:jc w:val="center"/>
                        </w:pPr>
                        <w:r>
                          <w:t xml:space="preserve">2.4</w:t>
                        </w:r>
                      </w:p>
                    </w:tc>
                    <w:tc>
                      <w:tcPr/>
                      <w:p>
                        <w:pPr>
                          <w:pStyle w:val="Compact"/>
                          <w:jc w:val="right"/>
                          <w:jc w:val="center"/>
                        </w:pPr>
                        <w:r>
                          <w:t xml:space="preserve">3.9</w:t>
                        </w:r>
                      </w:p>
                    </w:tc>
                    <w:tc>
                      <w:tcPr/>
                      <w:p>
                        <w:pPr>
                          <w:pStyle w:val="Compact"/>
                          <w:jc w:val="right"/>
                          <w:jc w:val="center"/>
                        </w:pPr>
                        <w:r>
                          <w:t xml:space="preserve">4.6</w:t>
                        </w:r>
                      </w:p>
                    </w:tc>
                    <w:tc>
                      <w:tcPr/>
                      <w:p>
                        <w:pPr>
                          <w:pStyle w:val="Compact"/>
                          <w:jc w:val="right"/>
                          <w:jc w:val="center"/>
                        </w:pPr>
                        <w:r>
                          <w:t xml:space="preserve">13.6</w:t>
                        </w:r>
                      </w:p>
                    </w:tc>
                  </w:tr>
                </w:tbl>
                <w:bookmarkEnd w:id="108"/>
                <w:bookmarkEnd w:id="109"/>
                <w:p/>
              </w:tc>
            </w:tr>
          </w:tbl>
          <w:p/>
        </w:tc>
      </w:tr>
    </w:tbl>
    <w:p>
      <w:pPr>
        <w:pStyle w:val="BodyText"/>
      </w:pPr>
      <w:pPr>
        <w:spacing w:before="200"/>
        <w:pStyle w:val="ImageCaption"/>
      </w:pPr>
      <w:r>
        <w:t xml:space="preserve">Table 3: Summary statistics for item-restscore bootstrap simulation</w:t>
      </w:r>
    </w:p>
    <w:bookmarkEnd w:id="110"/>
    <w:p>
      <w:pPr>
        <w:pStyle w:val="BodyText"/>
      </w:pPr>
      <w:hyperlink w:anchor="fig-irb0all">
        <w:r>
          <w:rPr>
            <w:rStyle w:val="Hyperlink"/>
          </w:rPr>
          <w:t xml:space="preserve">Figure 14</w:t>
        </w:r>
      </w:hyperlink>
      <w:r>
        <w:t xml:space="preserve"> </w:t>
      </w:r>
      <w:r>
        <w:t xml:space="preserve">shows that there is variation in the false positive rate and it is nearly always indicating overfit, while the misfitting items are only indicated as underfit. The summary statistics in</w:t>
      </w:r>
      <w:r>
        <w:t xml:space="preserve"> </w:t>
      </w:r>
      <w:hyperlink w:anchor="tbl-irb0mis">
        <w:r>
          <w:rPr>
            <w:rStyle w:val="Hyperlink"/>
          </w:rPr>
          <w:t xml:space="preserve">Table 3</w:t>
        </w:r>
      </w:hyperlink>
      <w:r>
        <w:t xml:space="preserve"> </w:t>
      </w:r>
      <w:r>
        <w:t xml:space="preserve">show that there can be quite a bit of variation for false positives, but the clear majority of results are below 50%. 3 items have 95th percentile values above 50, with the highest at 58.8.</w:t>
      </w:r>
    </w:p>
    <w:bookmarkEnd w:id="111"/>
    <w:bookmarkStart w:id="118" w:name="small-sample-n-150"/>
    <w:p>
      <w:pPr>
        <w:pStyle w:val="Heading2"/>
      </w:pPr>
      <w:r>
        <w:t xml:space="preserve">Small sample (n = 150)</w:t>
      </w:r>
    </w:p>
    <w:p>
      <w:pPr>
        <w:pStyle w:val="FirstParagraph"/>
      </w:pPr>
      <w:r>
        <w:t xml:space="preserve">We will use 200 simulations to check the performance of the bootstrapped item-restscore function for sample size 150. As an additional experimental condition, we will use both 250 and 500 bootstrap iterations for item-restscore in each simulation.</w:t>
      </w:r>
    </w:p>
    <w:bookmarkStart w:id="116" w:name="cell-fig-irboot150"/>
    <w:tbl>
      <w:tblPr>
        <w:tblStyle w:val="Table"/>
        <w:tblW w:type="pct" w:w="5000"/>
        <w:tblLayout w:type="fixed"/>
        <w:tblLook w:firstRow="0" w:lastRow="0" w:firstColumn="0" w:lastColumn="0" w:noHBand="0" w:noVBand="0" w:val="0000"/>
      </w:tblPr>
      <w:tblGrid>
        <w:gridCol w:w="7920"/>
      </w:tblGrid>
      <w:tr>
        <w:tc>
          <w:tcPr/>
          <w:bookmarkStart w:id="115" w:name="fig-irboot150"/>
          <w:p>
            <w:pPr>
              <w:jc w:val="center"/>
            </w:pPr>
            <w:pPr>
              <w:jc w:val="start"/>
              <w:spacing w:before="200"/>
              <w:pStyle w:val="ImageCaption"/>
            </w:pPr>
            <w:r>
              <w:t xml:space="preserve">Figure 15: Item-restscore bootstrap results (n = 150)</w:t>
            </w:r>
          </w:p>
          <w:p>
            <w:pPr>
              <w:pStyle w:val="Compact"/>
              <w:jc w:val="center"/>
            </w:pPr>
            <w:r>
              <w:drawing>
                <wp:inline>
                  <wp:extent cx="5943600" cy="5488812"/>
                  <wp:effectExtent b="0" l="0" r="0" t="0"/>
                  <wp:docPr descr="" title="" id="113" name="Picture"/>
                  <a:graphic>
                    <a:graphicData uri="http://schemas.openxmlformats.org/drawingml/2006/picture">
                      <pic:pic>
                        <pic:nvPicPr>
                          <pic:cNvPr descr="index_files/figure-docx/fig-irboot150-1.png" id="114" name="Picture"/>
                          <pic:cNvPicPr>
                            <a:picLocks noChangeArrowheads="1" noChangeAspect="1"/>
                          </pic:cNvPicPr>
                        </pic:nvPicPr>
                        <pic:blipFill>
                          <a:blip r:embed="rId112"/>
                          <a:stretch>
                            <a:fillRect/>
                          </a:stretch>
                        </pic:blipFill>
                        <pic:spPr bwMode="auto">
                          <a:xfrm>
                            <a:off x="0" y="0"/>
                            <a:ext cx="5943600" cy="5488812"/>
                          </a:xfrm>
                          <a:prstGeom prst="rect">
                            <a:avLst/>
                          </a:prstGeom>
                          <a:noFill/>
                          <a:ln w="9525">
                            <a:noFill/>
                            <a:headEnd/>
                            <a:tailEnd/>
                          </a:ln>
                        </pic:spPr>
                      </pic:pic>
                    </a:graphicData>
                  </a:graphic>
                </wp:inline>
              </w:drawing>
            </w:r>
          </w:p>
          <w:bookmarkEnd w:id="115"/>
        </w:tc>
      </w:tr>
    </w:tbl>
    <w:bookmarkEnd w:id="116"/>
    <w:p>
      <w:pPr>
        <w:pStyle w:val="BodyText"/>
      </w:pPr>
      <w:r>
        <w:t xml:space="preserve">Item-restscore bootstrapping improves slightly on the single instance of item-restscore for the n = 150 condition (see</w:t>
      </w:r>
      <w:r>
        <w:t xml:space="preserve"> </w:t>
      </w:r>
      <w:hyperlink w:anchor="fig-irboot150">
        <w:r>
          <w:rPr>
            <w:rStyle w:val="Hyperlink"/>
          </w:rPr>
          <w:t xml:space="preserve">Figure 15</w:t>
        </w:r>
      </w:hyperlink>
      <w:r>
        <w:t xml:space="preserve">). When comparing to the previous results in</w:t>
      </w:r>
      <w:r>
        <w:t xml:space="preserve"> </w:t>
      </w:r>
      <w:hyperlink w:anchor="fig-itemrestscore2">
        <w:r>
          <w:rPr>
            <w:rStyle w:val="Hyperlink"/>
          </w:rPr>
          <w:t xml:space="preserve">Figure 12</w:t>
        </w:r>
      </w:hyperlink>
      <w:r>
        <w:t xml:space="preserve">, where the detection rate for the same sample size was at 49.2%, 14.6%, and 34.6% (for items 9, 13, and 18 respectively), the corresponding median values from the bootstrapped item-restscore with 250 iterations were 52.4%, 19.2%, and 38.4%. Using 500 bootstrap iterations did not result in relevant improvements over 250 iterations (see</w:t>
      </w:r>
      <w:r>
        <w:t xml:space="preserve"> </w:t>
      </w:r>
      <w:hyperlink w:anchor="tbl-irb150mis">
        <w:r>
          <w:rPr>
            <w:rStyle w:val="Hyperlink"/>
          </w:rPr>
          <w:t xml:space="preserve">Table 4</w:t>
        </w:r>
      </w:hyperlink>
      <w:r>
        <w:t xml:space="preserve">). Compared to the results using infit (</w:t>
      </w:r>
      <w:hyperlink w:anchor="fig-ifb3">
        <w:r>
          <w:rPr>
            <w:rStyle w:val="Hyperlink"/>
          </w:rPr>
          <w:t xml:space="preserve">Figure 10</w:t>
        </w:r>
      </w:hyperlink>
      <w:r>
        <w:t xml:space="preserve">), with detection rates of 59.2%, 19%, and 51.8%, item-restscore inferior also when bootstrapped.</w:t>
      </w:r>
    </w:p>
    <w:tbl>
      <w:tblPr>
        <w:tblStyle w:val="Table"/>
        <w:tblW w:type="pct" w:w="5000"/>
        <w:tblLayout w:type="fixed"/>
        <w:tblLook w:firstRow="0" w:lastRow="0" w:firstColumn="0" w:lastColumn="0" w:noHBand="0" w:noVBand="0" w:val="0000"/>
      </w:tblPr>
      <w:tblGrid>
        <w:gridCol w:w="7920"/>
      </w:tblGrid>
      <w:tr>
        <w:tc>
          <w:tcPr/>
          <w:bookmarkStart w:id="117" w:name="tbl-irb150mis"/>
          <w:p>
            <w:pPr>
              <w:jc w:val="center"/>
            </w:pPr>
            <w:pPr>
              <w:jc w:val="start"/>
              <w:spacing w:before="200"/>
              <w:pStyle w:val="ImageCaption"/>
            </w:pPr>
            <w:r>
              <w:t xml:space="preserve">Table 4: Summary statistics for item-restscore bootstrap simulation (n = 150)</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Bootstrap iterations</w:t>
                  </w:r>
                </w:p>
              </w:tc>
              <w:tc>
                <w:tcPr/>
                <w:p>
                  <w:pPr>
                    <w:pStyle w:val="Compact"/>
                    <w:jc w:val="left"/>
                    <w:jc w:val="center"/>
                  </w:pPr>
                  <w:r>
                    <w:t xml:space="preserve">Item</w:t>
                  </w:r>
                </w:p>
              </w:tc>
              <w:tc>
                <w:tcPr/>
                <w:p>
                  <w:pPr>
                    <w:pStyle w:val="Compact"/>
                    <w:jc w:val="right"/>
                    <w:jc w:val="center"/>
                  </w:pPr>
                  <w:r>
                    <w:t xml:space="preserve">Median</w:t>
                  </w:r>
                </w:p>
              </w:tc>
              <w:tc>
                <w:tcPr/>
                <w:p>
                  <w:pPr>
                    <w:pStyle w:val="Compact"/>
                    <w:jc w:val="right"/>
                    <w:jc w:val="center"/>
                  </w:pPr>
                  <w:r>
                    <w:t xml:space="preserve">MAD</w:t>
                  </w:r>
                </w:p>
              </w:tc>
              <w:tc>
                <w:tcPr/>
                <w:p>
                  <w:pPr>
                    <w:pStyle w:val="Compact"/>
                    <w:jc w:val="right"/>
                    <w:jc w:val="center"/>
                  </w:pPr>
                  <w:r>
                    <w:t xml:space="preserve">Mean</w:t>
                  </w:r>
                </w:p>
              </w:tc>
              <w:tc>
                <w:tcPr/>
                <w:p>
                  <w:pPr>
                    <w:pStyle w:val="Compact"/>
                    <w:jc w:val="right"/>
                    <w:jc w:val="center"/>
                  </w:pPr>
                  <w:r>
                    <w:t xml:space="preserve">SD</w:t>
                  </w:r>
                </w:p>
              </w:tc>
            </w:tr>
            <w:tr>
              <w:tc>
                <w:tcPr/>
                <w:p>
                  <w:pPr>
                    <w:pStyle w:val="Compact"/>
                  </w:pPr>
                </w:p>
              </w:tc>
              <w:tc>
                <w:tcPr/>
                <w:p>
                  <w:pPr>
                    <w:pStyle w:val="Compact"/>
                    <w:jc w:val="left"/>
                    <w:jc w:val="center"/>
                  </w:pPr>
                  <w:r>
                    <w:t xml:space="preserve">V9</w:t>
                  </w:r>
                </w:p>
              </w:tc>
              <w:tc>
                <w:tcPr/>
                <w:p>
                  <w:pPr>
                    <w:pStyle w:val="Compact"/>
                    <w:jc w:val="right"/>
                    <w:jc w:val="center"/>
                  </w:pPr>
                  <w:r>
                    <w:t xml:space="preserve">52.4</w:t>
                  </w:r>
                </w:p>
              </w:tc>
              <w:tc>
                <w:tcPr/>
                <w:p>
                  <w:pPr>
                    <w:pStyle w:val="Compact"/>
                    <w:jc w:val="right"/>
                    <w:jc w:val="center"/>
                  </w:pPr>
                  <w:r>
                    <w:t xml:space="preserve">38.0</w:t>
                  </w:r>
                </w:p>
              </w:tc>
              <w:tc>
                <w:tcPr/>
                <w:p>
                  <w:pPr>
                    <w:pStyle w:val="Compact"/>
                    <w:jc w:val="right"/>
                    <w:jc w:val="center"/>
                  </w:pPr>
                  <w:r>
                    <w:t xml:space="preserve">51.4</w:t>
                  </w:r>
                </w:p>
              </w:tc>
              <w:tc>
                <w:tcPr/>
                <w:p>
                  <w:pPr>
                    <w:pStyle w:val="Compact"/>
                    <w:jc w:val="right"/>
                    <w:jc w:val="center"/>
                  </w:pPr>
                  <w:r>
                    <w:t xml:space="preserve">29.2</w:t>
                  </w:r>
                </w:p>
              </w:tc>
            </w:tr>
            <w:tr>
              <w:tc>
                <w:tcPr/>
                <w:p>
                  <w:pPr>
                    <w:pStyle w:val="Compact"/>
                    <w:jc w:val="left"/>
                    <w:jc w:val="center"/>
                  </w:pPr>
                  <w:r>
                    <w:t xml:space="preserve">250</w:t>
                  </w:r>
                </w:p>
              </w:tc>
              <w:tc>
                <w:tcPr/>
                <w:p>
                  <w:pPr>
                    <w:pStyle w:val="Compact"/>
                    <w:jc w:val="left"/>
                    <w:jc w:val="center"/>
                  </w:pPr>
                  <w:r>
                    <w:t xml:space="preserve">V18</w:t>
                  </w:r>
                </w:p>
              </w:tc>
              <w:tc>
                <w:tcPr/>
                <w:p>
                  <w:pPr>
                    <w:pStyle w:val="Compact"/>
                    <w:jc w:val="right"/>
                    <w:jc w:val="center"/>
                  </w:pPr>
                  <w:r>
                    <w:t xml:space="preserve">38.4</w:t>
                  </w:r>
                </w:p>
              </w:tc>
              <w:tc>
                <w:tcPr/>
                <w:p>
                  <w:pPr>
                    <w:pStyle w:val="Compact"/>
                    <w:jc w:val="right"/>
                    <w:jc w:val="center"/>
                  </w:pPr>
                  <w:r>
                    <w:t xml:space="preserve">35.6</w:t>
                  </w:r>
                </w:p>
              </w:tc>
              <w:tc>
                <w:tcPr/>
                <w:p>
                  <w:pPr>
                    <w:pStyle w:val="Compact"/>
                    <w:jc w:val="right"/>
                    <w:jc w:val="center"/>
                  </w:pPr>
                  <w:r>
                    <w:t xml:space="preserve">42.0</w:t>
                  </w:r>
                </w:p>
              </w:tc>
              <w:tc>
                <w:tcPr/>
                <w:p>
                  <w:pPr>
                    <w:pStyle w:val="Compact"/>
                    <w:jc w:val="right"/>
                    <w:jc w:val="center"/>
                  </w:pPr>
                  <w:r>
                    <w:t xml:space="preserve">27.8</w:t>
                  </w:r>
                </w:p>
              </w:tc>
            </w:tr>
            <w:tr>
              <w:tc>
                <w:tcPr/>
                <w:p>
                  <w:pPr>
                    <w:pStyle w:val="Compact"/>
                  </w:pPr>
                </w:p>
              </w:tc>
              <w:tc>
                <w:tcPr/>
                <w:p>
                  <w:pPr>
                    <w:pStyle w:val="Compact"/>
                    <w:jc w:val="left"/>
                    <w:jc w:val="center"/>
                  </w:pPr>
                  <w:r>
                    <w:t xml:space="preserve">V13</w:t>
                  </w:r>
                </w:p>
              </w:tc>
              <w:tc>
                <w:tcPr/>
                <w:p>
                  <w:pPr>
                    <w:pStyle w:val="Compact"/>
                    <w:jc w:val="right"/>
                    <w:jc w:val="center"/>
                  </w:pPr>
                  <w:r>
                    <w:t xml:space="preserve">19.2</w:t>
                  </w:r>
                </w:p>
              </w:tc>
              <w:tc>
                <w:tcPr/>
                <w:p>
                  <w:pPr>
                    <w:pStyle w:val="Compact"/>
                    <w:jc w:val="right"/>
                    <w:jc w:val="center"/>
                  </w:pPr>
                  <w:r>
                    <w:t xml:space="preserve">21.9</w:t>
                  </w:r>
                </w:p>
              </w:tc>
              <w:tc>
                <w:tcPr/>
                <w:p>
                  <w:pPr>
                    <w:pStyle w:val="Compact"/>
                    <w:jc w:val="right"/>
                    <w:jc w:val="center"/>
                  </w:pPr>
                  <w:r>
                    <w:t xml:space="preserve">27.3</w:t>
                  </w:r>
                </w:p>
              </w:tc>
              <w:tc>
                <w:tcPr/>
                <w:p>
                  <w:pPr>
                    <w:pStyle w:val="Compact"/>
                    <w:jc w:val="right"/>
                    <w:jc w:val="center"/>
                  </w:pPr>
                  <w:r>
                    <w:t xml:space="preserve">25.0</w:t>
                  </w:r>
                </w:p>
              </w:tc>
            </w:tr>
            <w:tr>
              <w:tc>
                <w:tcPr/>
                <w:p>
                  <w:pPr>
                    <w:pStyle w:val="Compact"/>
                  </w:pPr>
                </w:p>
              </w:tc>
              <w:tc>
                <w:tcPr/>
                <w:p>
                  <w:pPr>
                    <w:pStyle w:val="Compact"/>
                    <w:jc w:val="left"/>
                    <w:jc w:val="center"/>
                  </w:pPr>
                  <w:r>
                    <w:t xml:space="preserve">V9</w:t>
                  </w:r>
                </w:p>
              </w:tc>
              <w:tc>
                <w:tcPr/>
                <w:p>
                  <w:pPr>
                    <w:pStyle w:val="Compact"/>
                    <w:jc w:val="right"/>
                    <w:jc w:val="center"/>
                  </w:pPr>
                  <w:r>
                    <w:t xml:space="preserve">54.3</w:t>
                  </w:r>
                </w:p>
              </w:tc>
              <w:tc>
                <w:tcPr/>
                <w:p>
                  <w:pPr>
                    <w:pStyle w:val="Compact"/>
                    <w:jc w:val="right"/>
                    <w:jc w:val="center"/>
                  </w:pPr>
                  <w:r>
                    <w:t xml:space="preserve">37.8</w:t>
                  </w:r>
                </w:p>
              </w:tc>
              <w:tc>
                <w:tcPr/>
                <w:p>
                  <w:pPr>
                    <w:pStyle w:val="Compact"/>
                    <w:jc w:val="right"/>
                    <w:jc w:val="center"/>
                  </w:pPr>
                  <w:r>
                    <w:t xml:space="preserve">51.0</w:t>
                  </w:r>
                </w:p>
              </w:tc>
              <w:tc>
                <w:tcPr/>
                <w:p>
                  <w:pPr>
                    <w:pStyle w:val="Compact"/>
                    <w:jc w:val="right"/>
                    <w:jc w:val="center"/>
                  </w:pPr>
                  <w:r>
                    <w:t xml:space="preserve">29.5</w:t>
                  </w:r>
                </w:p>
              </w:tc>
            </w:tr>
            <w:tr>
              <w:tc>
                <w:tcPr/>
                <w:p>
                  <w:pPr>
                    <w:pStyle w:val="Compact"/>
                    <w:jc w:val="left"/>
                    <w:jc w:val="center"/>
                  </w:pPr>
                  <w:r>
                    <w:t xml:space="preserve">500</w:t>
                  </w:r>
                </w:p>
              </w:tc>
              <w:tc>
                <w:tcPr/>
                <w:p>
                  <w:pPr>
                    <w:pStyle w:val="Compact"/>
                    <w:jc w:val="left"/>
                    <w:jc w:val="center"/>
                  </w:pPr>
                  <w:r>
                    <w:t xml:space="preserve">V18</w:t>
                  </w:r>
                </w:p>
              </w:tc>
              <w:tc>
                <w:tcPr/>
                <w:p>
                  <w:pPr>
                    <w:pStyle w:val="Compact"/>
                    <w:jc w:val="right"/>
                    <w:jc w:val="center"/>
                  </w:pPr>
                  <w:r>
                    <w:t xml:space="preserve">37.2</w:t>
                  </w:r>
                </w:p>
              </w:tc>
              <w:tc>
                <w:tcPr/>
                <w:p>
                  <w:pPr>
                    <w:pStyle w:val="Compact"/>
                    <w:jc w:val="right"/>
                    <w:jc w:val="center"/>
                  </w:pPr>
                  <w:r>
                    <w:t xml:space="preserve">35.9</w:t>
                  </w:r>
                </w:p>
              </w:tc>
              <w:tc>
                <w:tcPr/>
                <w:p>
                  <w:pPr>
                    <w:pStyle w:val="Compact"/>
                    <w:jc w:val="right"/>
                    <w:jc w:val="center"/>
                  </w:pPr>
                  <w:r>
                    <w:t xml:space="preserve">41.4</w:t>
                  </w:r>
                </w:p>
              </w:tc>
              <w:tc>
                <w:tcPr/>
                <w:p>
                  <w:pPr>
                    <w:pStyle w:val="Compact"/>
                    <w:jc w:val="right"/>
                    <w:jc w:val="center"/>
                  </w:pPr>
                  <w:r>
                    <w:t xml:space="preserve">27.9</w:t>
                  </w:r>
                </w:p>
              </w:tc>
            </w:tr>
            <w:tr>
              <w:tc>
                <w:tcPr/>
                <w:p>
                  <w:pPr>
                    <w:pStyle w:val="Compact"/>
                  </w:pPr>
                </w:p>
              </w:tc>
              <w:tc>
                <w:tcPr/>
                <w:p>
                  <w:pPr>
                    <w:pStyle w:val="Compact"/>
                    <w:jc w:val="left"/>
                    <w:jc w:val="center"/>
                  </w:pPr>
                  <w:r>
                    <w:t xml:space="preserve">V13</w:t>
                  </w:r>
                </w:p>
              </w:tc>
              <w:tc>
                <w:tcPr/>
                <w:p>
                  <w:pPr>
                    <w:pStyle w:val="Compact"/>
                    <w:jc w:val="right"/>
                    <w:jc w:val="center"/>
                  </w:pPr>
                  <w:r>
                    <w:t xml:space="preserve">19.4</w:t>
                  </w:r>
                </w:p>
              </w:tc>
              <w:tc>
                <w:tcPr/>
                <w:p>
                  <w:pPr>
                    <w:pStyle w:val="Compact"/>
                    <w:jc w:val="right"/>
                    <w:jc w:val="center"/>
                  </w:pPr>
                  <w:r>
                    <w:t xml:space="preserve">23.1</w:t>
                  </w:r>
                </w:p>
              </w:tc>
              <w:tc>
                <w:tcPr/>
                <w:p>
                  <w:pPr>
                    <w:pStyle w:val="Compact"/>
                    <w:jc w:val="right"/>
                    <w:jc w:val="center"/>
                  </w:pPr>
                  <w:r>
                    <w:t xml:space="preserve">27.2</w:t>
                  </w:r>
                </w:p>
              </w:tc>
              <w:tc>
                <w:tcPr/>
                <w:p>
                  <w:pPr>
                    <w:pStyle w:val="Compact"/>
                    <w:jc w:val="right"/>
                    <w:jc w:val="center"/>
                  </w:pPr>
                  <w:r>
                    <w:t xml:space="preserve">24.7</w:t>
                  </w:r>
                </w:p>
              </w:tc>
            </w:tr>
          </w:tbl>
          <w:bookmarkEnd w:id="117"/>
          <w:p/>
        </w:tc>
      </w:tr>
    </w:tbl>
    <w:bookmarkEnd w:id="118"/>
    <w:bookmarkEnd w:id="119"/>
    <w:bookmarkStart w:id="153" w:name="study-5-varying-the-number-of-items"/>
    <w:p>
      <w:pPr>
        <w:pStyle w:val="Heading1"/>
      </w:pPr>
      <w:r>
        <w:t xml:space="preserve">Study 5: Varying the number of items</w:t>
      </w:r>
    </w:p>
    <w:p>
      <w:pPr>
        <w:pStyle w:val="FirstParagraph"/>
      </w:pPr>
      <w:r>
        <w:t xml:space="preserve">For this simulation, we will vary the number of items and the number of misfitting items. First, 40 dichotomous items will be used, adding 20 new item locations to the previously used set, with the same three items misfitting (items 9, 13, and 18). Second, items 1-10 out of the initial 20 items will be used, which means only item 9 will be misfit. We’ll again be using sample sizes of 150, 250, 500, and 1000.</w:t>
      </w:r>
    </w:p>
    <w:p>
      <w:pPr>
        <w:pStyle w:val="BodyText"/>
      </w:pPr>
      <w:r>
        <w:t xml:space="preserve">Item-restscore and item infit will be compared. The latter will use 100 bootstrap iterations to determine critical values for sample sizes 150 and 250, and 200 bootstrap iterations for n &gt;= 500.</w:t>
      </w:r>
    </w:p>
    <w:bookmarkStart w:id="130" w:name="results-40-items"/>
    <w:p>
      <w:pPr>
        <w:pStyle w:val="Heading2"/>
      </w:pPr>
      <w:r>
        <w:t xml:space="preserve">Results 40 items</w:t>
      </w:r>
    </w:p>
    <w:bookmarkStart w:id="124" w:name="cell-fig-ifb40"/>
    <w:tbl>
      <w:tblPr>
        <w:tblStyle w:val="Table"/>
        <w:tblW w:type="pct" w:w="5000"/>
        <w:tblLayout w:type="fixed"/>
        <w:tblLook w:firstRow="0" w:lastRow="0" w:firstColumn="0" w:lastColumn="0" w:noHBand="0" w:noVBand="0" w:val="0000"/>
      </w:tblPr>
      <w:tblGrid>
        <w:gridCol w:w="7920"/>
      </w:tblGrid>
      <w:tr>
        <w:tc>
          <w:tcPr/>
          <w:bookmarkStart w:id="123" w:name="fig-ifb40"/>
          <w:p>
            <w:pPr>
              <w:jc w:val="center"/>
            </w:pPr>
            <w:pPr>
              <w:jc w:val="start"/>
              <w:spacing w:before="200"/>
              <w:pStyle w:val="ImageCaption"/>
            </w:pPr>
            <w:r>
              <w:t xml:space="preserve">Figure 16: Conditional infit detection rate with 40 items (3 misfit)</w:t>
            </w:r>
          </w:p>
          <w:p>
            <w:pPr>
              <w:pStyle w:val="Compact"/>
              <w:jc w:val="center"/>
            </w:pPr>
            <w:r>
              <w:drawing>
                <wp:inline>
                  <wp:extent cx="5943600" cy="4574010"/>
                  <wp:effectExtent b="0" l="0" r="0" t="0"/>
                  <wp:docPr descr="" title="" id="121" name="Picture"/>
                  <a:graphic>
                    <a:graphicData uri="http://schemas.openxmlformats.org/drawingml/2006/picture">
                      <pic:pic>
                        <pic:nvPicPr>
                          <pic:cNvPr descr="index_files/figure-docx/fig-ifb40-1.png" id="122" name="Picture"/>
                          <pic:cNvPicPr>
                            <a:picLocks noChangeArrowheads="1" noChangeAspect="1"/>
                          </pic:cNvPicPr>
                        </pic:nvPicPr>
                        <pic:blipFill>
                          <a:blip r:embed="rId120"/>
                          <a:stretch>
                            <a:fillRect/>
                          </a:stretch>
                        </pic:blipFill>
                        <pic:spPr bwMode="auto">
                          <a:xfrm>
                            <a:off x="0" y="0"/>
                            <a:ext cx="5943600" cy="4574010"/>
                          </a:xfrm>
                          <a:prstGeom prst="rect">
                            <a:avLst/>
                          </a:prstGeom>
                          <a:noFill/>
                          <a:ln w="9525">
                            <a:noFill/>
                            <a:headEnd/>
                            <a:tailEnd/>
                          </a:ln>
                        </pic:spPr>
                      </pic:pic>
                    </a:graphicData>
                  </a:graphic>
                </wp:inline>
              </w:drawing>
            </w:r>
          </w:p>
          <w:bookmarkEnd w:id="123"/>
        </w:tc>
      </w:tr>
    </w:tbl>
    <w:bookmarkEnd w:id="124"/>
    <w:bookmarkStart w:id="129" w:name="cell-fig-itemrestscore40"/>
    <w:tbl>
      <w:tblPr>
        <w:tblStyle w:val="Table"/>
        <w:tblW w:type="pct" w:w="5000"/>
        <w:tblLayout w:type="fixed"/>
        <w:tblLook w:firstRow="0" w:lastRow="0" w:firstColumn="0" w:lastColumn="0" w:noHBand="0" w:noVBand="0" w:val="0000"/>
      </w:tblPr>
      <w:tblGrid>
        <w:gridCol w:w="7920"/>
      </w:tblGrid>
      <w:tr>
        <w:tc>
          <w:tcPr/>
          <w:bookmarkStart w:id="128" w:name="fig-itemrestscore40"/>
          <w:p>
            <w:pPr>
              <w:jc w:val="center"/>
            </w:pPr>
            <w:pPr>
              <w:jc w:val="start"/>
              <w:spacing w:before="200"/>
              <w:pStyle w:val="ImageCaption"/>
            </w:pPr>
            <w:r>
              <w:t xml:space="preserve">Figure 17: Item-restscore detection rate with 40 items (3 misfit)</w:t>
            </w:r>
          </w:p>
          <w:p>
            <w:pPr>
              <w:pStyle w:val="Compact"/>
              <w:jc w:val="center"/>
            </w:pPr>
            <w:r>
              <w:drawing>
                <wp:inline>
                  <wp:extent cx="5943600" cy="4574010"/>
                  <wp:effectExtent b="0" l="0" r="0" t="0"/>
                  <wp:docPr descr="" title="" id="126" name="Picture"/>
                  <a:graphic>
                    <a:graphicData uri="http://schemas.openxmlformats.org/drawingml/2006/picture">
                      <pic:pic>
                        <pic:nvPicPr>
                          <pic:cNvPr descr="index_files/figure-docx/fig-itemrestscore40-1.png" id="127" name="Picture"/>
                          <pic:cNvPicPr>
                            <a:picLocks noChangeArrowheads="1" noChangeAspect="1"/>
                          </pic:cNvPicPr>
                        </pic:nvPicPr>
                        <pic:blipFill>
                          <a:blip r:embed="rId125"/>
                          <a:stretch>
                            <a:fillRect/>
                          </a:stretch>
                        </pic:blipFill>
                        <pic:spPr bwMode="auto">
                          <a:xfrm>
                            <a:off x="0" y="0"/>
                            <a:ext cx="5943600" cy="4574010"/>
                          </a:xfrm>
                          <a:prstGeom prst="rect">
                            <a:avLst/>
                          </a:prstGeom>
                          <a:noFill/>
                          <a:ln w="9525">
                            <a:noFill/>
                            <a:headEnd/>
                            <a:tailEnd/>
                          </a:ln>
                        </pic:spPr>
                      </pic:pic>
                    </a:graphicData>
                  </a:graphic>
                </wp:inline>
              </w:drawing>
            </w:r>
          </w:p>
          <w:bookmarkEnd w:id="128"/>
        </w:tc>
      </w:tr>
    </w:tbl>
    <w:bookmarkEnd w:id="129"/>
    <w:p>
      <w:pPr>
        <w:pStyle w:val="BodyText"/>
      </w:pPr>
      <w:r>
        <w:t xml:space="preserve">Infit performs better when the sample size is 150 or 250 (see</w:t>
      </w:r>
      <w:r>
        <w:t xml:space="preserve"> </w:t>
      </w:r>
      <w:hyperlink w:anchor="fig-ifb40">
        <w:r>
          <w:rPr>
            <w:rStyle w:val="Hyperlink"/>
          </w:rPr>
          <w:t xml:space="preserve">Figure 16</w:t>
        </w:r>
      </w:hyperlink>
      <w:r>
        <w:t xml:space="preserve">), while performance is slightly better for item-restscore for n &gt;= 500 in terms of lower rates of false positives (see</w:t>
      </w:r>
      <w:r>
        <w:t xml:space="preserve"> </w:t>
      </w:r>
      <w:hyperlink w:anchor="fig-itemrestscore40">
        <w:r>
          <w:rPr>
            <w:rStyle w:val="Hyperlink"/>
          </w:rPr>
          <w:t xml:space="preserve">Figure 17</w:t>
        </w:r>
      </w:hyperlink>
      <w:r>
        <w:t xml:space="preserve">).</w:t>
      </w:r>
    </w:p>
    <w:bookmarkEnd w:id="130"/>
    <w:bookmarkStart w:id="141" w:name="results-10-items"/>
    <w:p>
      <w:pPr>
        <w:pStyle w:val="Heading2"/>
      </w:pPr>
      <w:r>
        <w:t xml:space="preserve">Results 10 items</w:t>
      </w:r>
    </w:p>
    <w:bookmarkStart w:id="135" w:name="cell-fig-ifb10"/>
    <w:tbl>
      <w:tblPr>
        <w:tblStyle w:val="Table"/>
        <w:tblW w:type="pct" w:w="5000"/>
        <w:tblLayout w:type="fixed"/>
        <w:tblLook w:firstRow="0" w:lastRow="0" w:firstColumn="0" w:lastColumn="0" w:noHBand="0" w:noVBand="0" w:val="0000"/>
      </w:tblPr>
      <w:tblGrid>
        <w:gridCol w:w="7920"/>
      </w:tblGrid>
      <w:tr>
        <w:tc>
          <w:tcPr/>
          <w:bookmarkStart w:id="134" w:name="fig-ifb10"/>
          <w:p>
            <w:pPr>
              <w:jc w:val="center"/>
            </w:pPr>
            <w:pPr>
              <w:jc w:val="start"/>
              <w:spacing w:before="200"/>
              <w:pStyle w:val="ImageCaption"/>
            </w:pPr>
            <w:r>
              <w:t xml:space="preserve">Figure 18: Conditional infit detection rate (10 items)</w:t>
            </w:r>
          </w:p>
          <w:p>
            <w:pPr>
              <w:pStyle w:val="Compact"/>
              <w:jc w:val="center"/>
            </w:pPr>
            <w:r>
              <w:drawing>
                <wp:inline>
                  <wp:extent cx="5943600" cy="4574010"/>
                  <wp:effectExtent b="0" l="0" r="0" t="0"/>
                  <wp:docPr descr="" title="" id="132" name="Picture"/>
                  <a:graphic>
                    <a:graphicData uri="http://schemas.openxmlformats.org/drawingml/2006/picture">
                      <pic:pic>
                        <pic:nvPicPr>
                          <pic:cNvPr descr="index_files/figure-docx/fig-ifb10-1.png" id="133" name="Picture"/>
                          <pic:cNvPicPr>
                            <a:picLocks noChangeArrowheads="1" noChangeAspect="1"/>
                          </pic:cNvPicPr>
                        </pic:nvPicPr>
                        <pic:blipFill>
                          <a:blip r:embed="rId131"/>
                          <a:stretch>
                            <a:fillRect/>
                          </a:stretch>
                        </pic:blipFill>
                        <pic:spPr bwMode="auto">
                          <a:xfrm>
                            <a:off x="0" y="0"/>
                            <a:ext cx="5943600" cy="4574010"/>
                          </a:xfrm>
                          <a:prstGeom prst="rect">
                            <a:avLst/>
                          </a:prstGeom>
                          <a:noFill/>
                          <a:ln w="9525">
                            <a:noFill/>
                            <a:headEnd/>
                            <a:tailEnd/>
                          </a:ln>
                        </pic:spPr>
                      </pic:pic>
                    </a:graphicData>
                  </a:graphic>
                </wp:inline>
              </w:drawing>
            </w:r>
          </w:p>
          <w:bookmarkEnd w:id="134"/>
        </w:tc>
      </w:tr>
    </w:tbl>
    <w:bookmarkEnd w:id="135"/>
    <w:bookmarkStart w:id="140" w:name="cell-fig-itemrestscore10"/>
    <w:tbl>
      <w:tblPr>
        <w:tblStyle w:val="Table"/>
        <w:tblW w:type="pct" w:w="5000"/>
        <w:tblLayout w:type="fixed"/>
        <w:tblLook w:firstRow="0" w:lastRow="0" w:firstColumn="0" w:lastColumn="0" w:noHBand="0" w:noVBand="0" w:val="0000"/>
      </w:tblPr>
      <w:tblGrid>
        <w:gridCol w:w="7920"/>
      </w:tblGrid>
      <w:tr>
        <w:tc>
          <w:tcPr/>
          <w:bookmarkStart w:id="139" w:name="fig-itemrestscore10"/>
          <w:p>
            <w:pPr>
              <w:jc w:val="center"/>
            </w:pPr>
            <w:pPr>
              <w:jc w:val="start"/>
              <w:spacing w:before="200"/>
              <w:pStyle w:val="ImageCaption"/>
            </w:pPr>
            <w:r>
              <w:t xml:space="preserve">Figure 19: Item-restscore detection rate (10 items)</w:t>
            </w:r>
          </w:p>
          <w:p>
            <w:pPr>
              <w:pStyle w:val="Compact"/>
              <w:jc w:val="center"/>
            </w:pPr>
            <w:r>
              <w:drawing>
                <wp:inline>
                  <wp:extent cx="5943600" cy="4574010"/>
                  <wp:effectExtent b="0" l="0" r="0" t="0"/>
                  <wp:docPr descr="" title="" id="137" name="Picture"/>
                  <a:graphic>
                    <a:graphicData uri="http://schemas.openxmlformats.org/drawingml/2006/picture">
                      <pic:pic>
                        <pic:nvPicPr>
                          <pic:cNvPr descr="index_files/figure-docx/fig-itemrestscore10-1.png" id="138" name="Picture"/>
                          <pic:cNvPicPr>
                            <a:picLocks noChangeArrowheads="1" noChangeAspect="1"/>
                          </pic:cNvPicPr>
                        </pic:nvPicPr>
                        <pic:blipFill>
                          <a:blip r:embed="rId136"/>
                          <a:stretch>
                            <a:fillRect/>
                          </a:stretch>
                        </pic:blipFill>
                        <pic:spPr bwMode="auto">
                          <a:xfrm>
                            <a:off x="0" y="0"/>
                            <a:ext cx="5943600" cy="4574010"/>
                          </a:xfrm>
                          <a:prstGeom prst="rect">
                            <a:avLst/>
                          </a:prstGeom>
                          <a:noFill/>
                          <a:ln w="9525">
                            <a:noFill/>
                            <a:headEnd/>
                            <a:tailEnd/>
                          </a:ln>
                        </pic:spPr>
                      </pic:pic>
                    </a:graphicData>
                  </a:graphic>
                </wp:inline>
              </w:drawing>
            </w:r>
          </w:p>
          <w:bookmarkEnd w:id="139"/>
        </w:tc>
      </w:tr>
    </w:tbl>
    <w:bookmarkEnd w:id="140"/>
    <w:bookmarkEnd w:id="141"/>
    <w:bookmarkStart w:id="152" w:name="summary-figure"/>
    <w:p>
      <w:pPr>
        <w:pStyle w:val="Heading2"/>
      </w:pPr>
      <w:r>
        <w:t xml:space="preserve">Summary figure</w:t>
      </w:r>
    </w:p>
    <w:bookmarkStart w:id="146" w:name="cell-fig-comp10"/>
    <w:tbl>
      <w:tblPr>
        <w:tblStyle w:val="Table"/>
        <w:tblW w:type="pct" w:w="5000"/>
        <w:tblLayout w:type="fixed"/>
        <w:tblLook w:firstRow="0" w:lastRow="0" w:firstColumn="0" w:lastColumn="0" w:noHBand="0" w:noVBand="0" w:val="0000"/>
      </w:tblPr>
      <w:tblGrid>
        <w:gridCol w:w="7920"/>
      </w:tblGrid>
      <w:tr>
        <w:tc>
          <w:tcPr/>
          <w:bookmarkStart w:id="145" w:name="fig-comp10"/>
          <w:p>
            <w:pPr>
              <w:jc w:val="center"/>
            </w:pPr>
            <w:pPr>
              <w:jc w:val="start"/>
              <w:spacing w:before="200"/>
              <w:pStyle w:val="ImageCaption"/>
            </w:pPr>
            <w:r>
              <w:t xml:space="preserve">Figure 20: Detection rate for item-restscore and infit for 10 items</w:t>
            </w:r>
          </w:p>
          <w:p>
            <w:pPr>
              <w:pStyle w:val="Compact"/>
              <w:jc w:val="center"/>
            </w:pPr>
            <w:r>
              <w:drawing>
                <wp:inline>
                  <wp:extent cx="5943600" cy="4574010"/>
                  <wp:effectExtent b="0" l="0" r="0" t="0"/>
                  <wp:docPr descr="" title="" id="143" name="Picture"/>
                  <a:graphic>
                    <a:graphicData uri="http://schemas.openxmlformats.org/drawingml/2006/picture">
                      <pic:pic>
                        <pic:nvPicPr>
                          <pic:cNvPr descr="index_files/figure-docx/fig-comp10-1.png" id="144" name="Picture"/>
                          <pic:cNvPicPr>
                            <a:picLocks noChangeArrowheads="1" noChangeAspect="1"/>
                          </pic:cNvPicPr>
                        </pic:nvPicPr>
                        <pic:blipFill>
                          <a:blip r:embed="rId142"/>
                          <a:stretch>
                            <a:fillRect/>
                          </a:stretch>
                        </pic:blipFill>
                        <pic:spPr bwMode="auto">
                          <a:xfrm>
                            <a:off x="0" y="0"/>
                            <a:ext cx="5943600" cy="4574010"/>
                          </a:xfrm>
                          <a:prstGeom prst="rect">
                            <a:avLst/>
                          </a:prstGeom>
                          <a:noFill/>
                          <a:ln w="9525">
                            <a:noFill/>
                            <a:headEnd/>
                            <a:tailEnd/>
                          </a:ln>
                        </pic:spPr>
                      </pic:pic>
                    </a:graphicData>
                  </a:graphic>
                </wp:inline>
              </w:drawing>
            </w:r>
          </w:p>
          <w:bookmarkEnd w:id="145"/>
        </w:tc>
      </w:tr>
    </w:tbl>
    <w:bookmarkEnd w:id="146"/>
    <w:bookmarkStart w:id="151" w:name="cell-fig-comp2040"/>
    <w:tbl>
      <w:tblPr>
        <w:tblStyle w:val="Table"/>
        <w:tblW w:type="pct" w:w="5000"/>
        <w:tblLayout w:type="fixed"/>
        <w:tblLook w:firstRow="0" w:lastRow="0" w:firstColumn="0" w:lastColumn="0" w:noHBand="0" w:noVBand="0" w:val="0000"/>
      </w:tblPr>
      <w:tblGrid>
        <w:gridCol w:w="7920"/>
      </w:tblGrid>
      <w:tr>
        <w:tc>
          <w:tcPr/>
          <w:bookmarkStart w:id="150" w:name="fig-comp2040"/>
          <w:p>
            <w:pPr>
              <w:jc w:val="center"/>
            </w:pPr>
            <w:pPr>
              <w:jc w:val="start"/>
              <w:spacing w:before="200"/>
              <w:pStyle w:val="ImageCaption"/>
            </w:pPr>
            <w:r>
              <w:t xml:space="preserve">Figure 21: Detection rate for item-restscore and infit for 20 and 40 items</w:t>
            </w:r>
          </w:p>
          <w:p>
            <w:pPr>
              <w:pStyle w:val="Compact"/>
              <w:jc w:val="center"/>
            </w:pPr>
            <w:r>
              <w:drawing>
                <wp:inline>
                  <wp:extent cx="5943600" cy="3714750"/>
                  <wp:effectExtent b="0" l="0" r="0" t="0"/>
                  <wp:docPr descr="" title="" id="148" name="Picture"/>
                  <a:graphic>
                    <a:graphicData uri="http://schemas.openxmlformats.org/drawingml/2006/picture">
                      <pic:pic>
                        <pic:nvPicPr>
                          <pic:cNvPr descr="index_files/figure-docx/fig-comp2040-1.png" id="149" name="Picture"/>
                          <pic:cNvPicPr>
                            <a:picLocks noChangeArrowheads="1" noChangeAspect="1"/>
                          </pic:cNvPicPr>
                        </pic:nvPicPr>
                        <pic:blipFill>
                          <a:blip r:embed="rId147"/>
                          <a:stretch>
                            <a:fillRect/>
                          </a:stretch>
                        </pic:blipFill>
                        <pic:spPr bwMode="auto">
                          <a:xfrm>
                            <a:off x="0" y="0"/>
                            <a:ext cx="5943600" cy="3714750"/>
                          </a:xfrm>
                          <a:prstGeom prst="rect">
                            <a:avLst/>
                          </a:prstGeom>
                          <a:noFill/>
                          <a:ln w="9525">
                            <a:noFill/>
                            <a:headEnd/>
                            <a:tailEnd/>
                          </a:ln>
                        </pic:spPr>
                      </pic:pic>
                    </a:graphicData>
                  </a:graphic>
                </wp:inline>
              </w:drawing>
            </w:r>
          </w:p>
          <w:bookmarkEnd w:id="150"/>
        </w:tc>
      </w:tr>
    </w:tbl>
    <w:bookmarkEnd w:id="151"/>
    <w:p>
      <w:pPr>
        <w:pStyle w:val="BodyText"/>
      </w:pPr>
      <w:hyperlink w:anchor="fig-comp10">
        <w:r>
          <w:rPr>
            <w:rStyle w:val="Hyperlink"/>
          </w:rPr>
          <w:t xml:space="preserve">Figure 20</w:t>
        </w:r>
      </w:hyperlink>
      <w:r>
        <w:t xml:space="preserve"> </w:t>
      </w:r>
      <w:r>
        <w:t xml:space="preserve">and</w:t>
      </w:r>
      <w:r>
        <w:t xml:space="preserve"> </w:t>
      </w:r>
      <w:hyperlink w:anchor="fig-comp2040">
        <w:r>
          <w:rPr>
            <w:rStyle w:val="Hyperlink"/>
          </w:rPr>
          <w:t xml:space="preserve">Figure 21</w:t>
        </w:r>
      </w:hyperlink>
      <w:r>
        <w:t xml:space="preserve"> </w:t>
      </w:r>
      <w:r>
        <w:t xml:space="preserve">summarize the findings from the two different comparisons of item numbers. Adding more items improves the detection rate substantially for both methods, particularly for smaller samples and the off-target items. 40 items compared to 20 items result in a larger improvement for infit over item-restscore for the n = 150 condition, but also the n = 250 and n = 500 conditions for the -2 logits off-target item.</w:t>
      </w:r>
    </w:p>
    <w:bookmarkEnd w:id="152"/>
    <w:bookmarkEnd w:id="153"/>
    <w:bookmarkStart w:id="164" w:name="X63e30c314397aa664ab8073e1e13b2150c05936"/>
    <w:p>
      <w:pPr>
        <w:pStyle w:val="Heading1"/>
      </w:pPr>
      <w:r>
        <w:t xml:space="preserve">Study 6: Conditional likelihood ratio test</w:t>
      </w:r>
    </w:p>
    <w:p>
      <w:pPr>
        <w:pStyle w:val="FirstParagraph"/>
      </w:pPr>
      <w:r>
        <w:t xml:space="preserve">While global tests of model fit don’t provide any information about reasons for misfit when detected, they can be useful together with more specific tests such as those demonstrated in this paper. A commonly used global goodness-of-fit test is the Likelihood Ratio Test</w:t>
      </w:r>
      <w:r>
        <w:t xml:space="preserve"> </w:t>
      </w:r>
      <w:r>
        <w:t xml:space="preserve">(LRT, Andersen, 1973)</w:t>
      </w:r>
      <w:r>
        <w:t xml:space="preserve">, which is also implemented in the</w:t>
      </w:r>
      <w:r>
        <w:t xml:space="preserve"> </w:t>
      </w:r>
      <w:r>
        <w:rPr>
          <w:rStyle w:val="VerbatimChar"/>
        </w:rPr>
        <w:t xml:space="preserve">eRm</w:t>
      </w:r>
      <w:r>
        <w:t xml:space="preserve"> </w:t>
      </w:r>
      <w:r>
        <w:t xml:space="preserve">package. While the global test is not central to the purposes of this paper (detecting item misfit), it could provide readers with a familiar test as a reference and perhaps aid the item-focused methods in determining misfit. Previous simulation studies evaluating the LRT have found it to not be sensitive to detect multidimensionality</w:t>
      </w:r>
      <w:r>
        <w:t xml:space="preserve"> </w:t>
      </w:r>
      <w:r>
        <w:t xml:space="preserve">(Debelak, 2019)</w:t>
      </w:r>
      <w:r>
        <w:t xml:space="preserve">.</w:t>
      </w:r>
    </w:p>
    <w:p>
      <w:pPr>
        <w:pStyle w:val="BodyText"/>
      </w:pPr>
      <w:r>
        <w:t xml:space="preserve">For this simulation, sample sizes were set to 150, 250, 500, 1000, and 2000, using 1000 simulations for each condition. Study 6 follows the previous procedures. First, the three datasets with one misfitting item out of 20, varying the misfitting items location (0, -1, and -2 logits). Then the datasets with three misfitting items, and comparing 20 and 40 items. And finally, one dataset with 10 items and one well-targeted misfitting item.</w:t>
      </w:r>
    </w:p>
    <w:bookmarkStart w:id="163" w:name="results-4"/>
    <w:p>
      <w:pPr>
        <w:pStyle w:val="Heading2"/>
      </w:pPr>
      <w:r>
        <w:t xml:space="preserve">Results</w:t>
      </w:r>
    </w:p>
    <w:bookmarkStart w:id="162" w:name="fig-lrt1"/>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57" w:name="fig-lrt1-1"/>
                <w:p>
                  <w:pPr>
                    <w:jc w:val="center"/>
                    <w:jc w:val="left"/>
                  </w:pPr>
                  <w:pPr>
                    <w:jc w:val="start"/>
                    <w:spacing w:before="200"/>
                    <w:pStyle w:val="ImageCaption"/>
                  </w:pPr>
                  <w:r>
                    <w:t xml:space="preserve">(a) Across sample sizes and location of misfit item</w:t>
                  </w:r>
                </w:p>
                <w:p>
                  <w:pPr>
                    <w:pStyle w:val="Compact"/>
                    <w:jc w:val="center"/>
                    <w:jc w:val="left"/>
                  </w:pPr>
                  <w:r>
                    <w:drawing>
                      <wp:inline>
                        <wp:extent cx="5943600" cy="5943600"/>
                        <wp:effectExtent b="0" l="0" r="0" t="0"/>
                        <wp:docPr descr="" title="" id="155" name="Picture"/>
                        <a:graphic>
                          <a:graphicData uri="http://schemas.openxmlformats.org/drawingml/2006/picture">
                            <pic:pic>
                              <pic:nvPicPr>
                                <pic:cNvPr descr="index_files/figure-docx/fig-lrt1-1.png" id="156" name="Picture"/>
                                <pic:cNvPicPr>
                                  <a:picLocks noChangeArrowheads="1" noChangeAspect="1"/>
                                </pic:cNvPicPr>
                              </pic:nvPicPr>
                              <pic:blipFill>
                                <a:blip r:embed="rId154"/>
                                <a:stretch>
                                  <a:fillRect/>
                                </a:stretch>
                              </pic:blipFill>
                              <pic:spPr bwMode="auto">
                                <a:xfrm>
                                  <a:off x="0" y="0"/>
                                  <a:ext cx="5943600" cy="5943600"/>
                                </a:xfrm>
                                <a:prstGeom prst="rect">
                                  <a:avLst/>
                                </a:prstGeom>
                                <a:noFill/>
                                <a:ln w="9525">
                                  <a:noFill/>
                                  <a:headEnd/>
                                  <a:tailEnd/>
                                </a:ln>
                              </pic:spPr>
                            </pic:pic>
                          </a:graphicData>
                        </a:graphic>
                      </wp:inline>
                    </w:drawing>
                  </w:r>
                </w:p>
                <w:bookmarkEnd w:id="157"/>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61" w:name="fig-lrt1-2"/>
                <w:p>
                  <w:pPr>
                    <w:jc w:val="center"/>
                    <w:jc w:val="left"/>
                  </w:pPr>
                  <w:pPr>
                    <w:jc w:val="start"/>
                    <w:spacing w:before="200"/>
                    <w:pStyle w:val="ImageCaption"/>
                  </w:pPr>
                  <w:r>
                    <w:t xml:space="preserve">(b) Across sample sizes and number of items</w:t>
                  </w:r>
                </w:p>
                <w:p>
                  <w:pPr>
                    <w:pStyle w:val="Compact"/>
                    <w:jc w:val="center"/>
                    <w:jc w:val="left"/>
                  </w:pPr>
                  <w:r>
                    <w:drawing>
                      <wp:inline>
                        <wp:extent cx="5943600" cy="5943600"/>
                        <wp:effectExtent b="0" l="0" r="0" t="0"/>
                        <wp:docPr descr="" title="" id="159" name="Picture"/>
                        <a:graphic>
                          <a:graphicData uri="http://schemas.openxmlformats.org/drawingml/2006/picture">
                            <pic:pic>
                              <pic:nvPicPr>
                                <pic:cNvPr descr="index_files/figure-docx/fig-lrt1-2.png" id="160" name="Picture"/>
                                <pic:cNvPicPr>
                                  <a:picLocks noChangeArrowheads="1" noChangeAspect="1"/>
                                </pic:cNvPicPr>
                              </pic:nvPicPr>
                              <pic:blipFill>
                                <a:blip r:embed="rId158"/>
                                <a:stretch>
                                  <a:fillRect/>
                                </a:stretch>
                              </pic:blipFill>
                              <pic:spPr bwMode="auto">
                                <a:xfrm>
                                  <a:off x="0" y="0"/>
                                  <a:ext cx="5943600" cy="5943600"/>
                                </a:xfrm>
                                <a:prstGeom prst="rect">
                                  <a:avLst/>
                                </a:prstGeom>
                                <a:noFill/>
                                <a:ln w="9525">
                                  <a:noFill/>
                                  <a:headEnd/>
                                  <a:tailEnd/>
                                </a:ln>
                              </pic:spPr>
                            </pic:pic>
                          </a:graphicData>
                        </a:graphic>
                      </wp:inline>
                    </w:drawing>
                  </w:r>
                </w:p>
                <w:bookmarkEnd w:id="161"/>
              </w:tc>
            </w:tr>
          </w:tbl>
          <w:p/>
        </w:tc>
      </w:tr>
    </w:tbl>
    <w:p>
      <w:pPr>
        <w:pStyle w:val="BodyText"/>
      </w:pPr>
      <w:pPr>
        <w:spacing w:before="200"/>
        <w:pStyle w:val="ImageCaption"/>
      </w:pPr>
      <w:r>
        <w:t xml:space="preserve">Figure 22: Likelihood ratio test detection rate</w:t>
      </w:r>
    </w:p>
    <w:bookmarkEnd w:id="162"/>
    <w:p>
      <w:pPr>
        <w:pStyle w:val="BodyText"/>
      </w:pPr>
      <w:r>
        <w:t xml:space="preserve">Results for targeting of the misfit item are summarized in</w:t>
      </w:r>
      <w:r>
        <w:t xml:space="preserve"> </w:t>
      </w:r>
      <w:hyperlink w:anchor="fig-lrt1">
        <w:r>
          <w:rPr>
            <w:rStyle w:val="Hyperlink"/>
          </w:rPr>
          <w:t xml:space="preserve">Figure 22</w:t>
        </w:r>
      </w:hyperlink>
      <w:r>
        <w:t xml:space="preserve">, where the detection rate is reported based on the proportion of p-values below .05 in each condition.</w:t>
      </w:r>
    </w:p>
    <w:p>
      <w:pPr>
        <w:pStyle w:val="BodyText"/>
      </w:pPr>
      <w:r>
        <w:t xml:space="preserve">LRT performs better than item-restscore for the off-target item conditions, especially when targeting was at -2 logits. Otherwise, performance is similar. Infit is better than LRT for n &lt; 500 when targeting = 0, similar at targeting = 1, and LRT is better than infit at targeting -2.</w:t>
      </w:r>
    </w:p>
    <w:p>
      <w:pPr>
        <w:pStyle w:val="BodyText"/>
      </w:pPr>
      <w:r>
        <w:t xml:space="preserve">Looking at LRT for different numbers of items and comparing to results for infit and item-restscore at their best detection rates for the corresponding number of items and sample size, it shows much worse performance for 10 items compared to infit and item-restscore at n = 150, but similar performance at larger sample sizes. For 20 and 40 items, LRT is similar to infit at all sample sizes, and slightly better than item-restscore for n &lt; 500.</w:t>
      </w:r>
    </w:p>
    <w:bookmarkEnd w:id="163"/>
    <w:bookmarkEnd w:id="164"/>
    <w:bookmarkStart w:id="171" w:name="discussion"/>
    <w:p>
      <w:pPr>
        <w:pStyle w:val="Heading1"/>
      </w:pPr>
      <w:r>
        <w:t xml:space="preserve">Discussion</w:t>
      </w:r>
    </w:p>
    <w:p>
      <w:pPr>
        <w:pStyle w:val="FirstParagraph"/>
      </w:pPr>
      <w:r>
        <w:t xml:space="preserve">This paper was created primarily out of a desire to understand the performance of conditional item fit and item-restscore in detecting item misfit. Studies 1-3 and 5 were originally planned, while study 4 was added due to the results of previous studies showing issues with large sample sizes, and study 6 was added mostly for didactic purposes but also out of curiosity of the global fit LRT performance compared to the other methods. Müller’s</w:t>
      </w:r>
      <w:r>
        <w:t xml:space="preserve"> </w:t>
      </w:r>
      <w:r>
        <w:t xml:space="preserve">(2020)</w:t>
      </w:r>
      <w:r>
        <w:t xml:space="preserve"> </w:t>
      </w:r>
      <w:r>
        <w:t xml:space="preserve">paper on conditional item fit was published five years ago with results that should have sparked discussions in the Rasch community about updating methods (and software) and the justification of rule-of-thumb critical values. We hope that this paper can help spur such discussions by the simple methodology and presentation of results used, which could make this paper more accessible for practitioners.</w:t>
      </w:r>
    </w:p>
    <w:p>
      <w:pPr>
        <w:pStyle w:val="BodyText"/>
      </w:pPr>
      <w:r>
        <w:t xml:space="preserve">Main results summarized:</w:t>
      </w:r>
    </w:p>
    <w:p>
      <w:pPr>
        <w:pStyle w:val="Compact"/>
        <w:numPr>
          <w:ilvl w:val="0"/>
          <w:numId w:val="1003"/>
        </w:numPr>
      </w:pPr>
      <w:r>
        <w:t xml:space="preserve">small samples (n &lt; 250-500) with small numbers of items make it harder to detect misfitting items</w:t>
      </w:r>
    </w:p>
    <w:p>
      <w:pPr>
        <w:pStyle w:val="Compact"/>
        <w:numPr>
          <w:ilvl w:val="0"/>
          <w:numId w:val="1003"/>
        </w:numPr>
      </w:pPr>
      <w:r>
        <w:t xml:space="preserve">small samples (n &lt; 250-500) should rely primarily on conditional item infit with simulation-based critical values</w:t>
      </w:r>
    </w:p>
    <w:p>
      <w:pPr>
        <w:pStyle w:val="Compact"/>
        <w:numPr>
          <w:ilvl w:val="0"/>
          <w:numId w:val="1003"/>
        </w:numPr>
      </w:pPr>
      <w:r>
        <w:t xml:space="preserve">large samples (n &gt; 500) should use bootstrapped item-restscore to reduce the risk of falsely identifying misfit</w:t>
      </w:r>
    </w:p>
    <w:p>
      <w:pPr>
        <w:pStyle w:val="Compact"/>
        <w:numPr>
          <w:ilvl w:val="0"/>
          <w:numId w:val="1003"/>
        </w:numPr>
      </w:pPr>
      <w:r>
        <w:t xml:space="preserve">misfit in an off-target item is harder to detect than well-targeted items and the LRT test can assist in identifying misfit in off-target items</w:t>
      </w:r>
    </w:p>
    <w:p>
      <w:pPr>
        <w:pStyle w:val="Compact"/>
        <w:numPr>
          <w:ilvl w:val="0"/>
          <w:numId w:val="1003"/>
        </w:numPr>
      </w:pPr>
      <w:r>
        <w:t xml:space="preserve">increased number of items increases the power to detect misfit</w:t>
      </w:r>
    </w:p>
    <w:p>
      <w:pPr>
        <w:pStyle w:val="FirstParagraph"/>
      </w:pPr>
      <w:r>
        <w:t xml:space="preserve">Assessment of item fit and dimensionality should always be done using multiple methods. Study 6 showed the benefits of also looking at the likelihood ratio test when the misfitting item is located -2 logits away from the sample mean location. Previous simulation studies concluded that the LRT did not perform well at detecting multidimensionality, which is how the misfitting items were generated in this study. While no method in this study achieved very good results at the lowest sample size (n = 150), LRT did not do much worse than the other methods.</w:t>
      </w:r>
    </w:p>
    <w:bookmarkStart w:id="169" w:name="cell-fig-loadloc"/>
    <w:tbl>
      <w:tblPr>
        <w:tblStyle w:val="Table"/>
        <w:tblW w:type="pct" w:w="5000"/>
        <w:tblLayout w:type="fixed"/>
        <w:tblLook w:firstRow="0" w:lastRow="0" w:firstColumn="0" w:lastColumn="0" w:noHBand="0" w:noVBand="0" w:val="0000"/>
      </w:tblPr>
      <w:tblGrid>
        <w:gridCol w:w="7920"/>
      </w:tblGrid>
      <w:tr>
        <w:tc>
          <w:tcPr/>
          <w:bookmarkStart w:id="168" w:name="fig-loadloc"/>
          <w:p>
            <w:pPr>
              <w:jc w:val="center"/>
            </w:pPr>
            <w:pPr>
              <w:jc w:val="start"/>
              <w:spacing w:before="200"/>
              <w:pStyle w:val="ImageCaption"/>
            </w:pPr>
            <w:r>
              <w:t xml:space="preserve">Figure 23: Standardized loadings on first residual contrast factor and item location</w:t>
            </w:r>
          </w:p>
          <w:p>
            <w:pPr>
              <w:pStyle w:val="Compact"/>
              <w:jc w:val="center"/>
            </w:pPr>
            <w:r>
              <w:drawing>
                <wp:inline>
                  <wp:extent cx="5943600" cy="4574010"/>
                  <wp:effectExtent b="0" l="0" r="0" t="0"/>
                  <wp:docPr descr="" title="" id="166" name="Picture"/>
                  <a:graphic>
                    <a:graphicData uri="http://schemas.openxmlformats.org/drawingml/2006/picture">
                      <pic:pic>
                        <pic:nvPicPr>
                          <pic:cNvPr descr="index_files/figure-docx/fig-loadloc-1.png" id="167" name="Picture"/>
                          <pic:cNvPicPr>
                            <a:picLocks noChangeArrowheads="1" noChangeAspect="1"/>
                          </pic:cNvPicPr>
                        </pic:nvPicPr>
                        <pic:blipFill>
                          <a:blip r:embed="rId165"/>
                          <a:stretch>
                            <a:fillRect/>
                          </a:stretch>
                        </pic:blipFill>
                        <pic:spPr bwMode="auto">
                          <a:xfrm>
                            <a:off x="0" y="0"/>
                            <a:ext cx="5943600" cy="4574010"/>
                          </a:xfrm>
                          <a:prstGeom prst="rect">
                            <a:avLst/>
                          </a:prstGeom>
                          <a:noFill/>
                          <a:ln w="9525">
                            <a:noFill/>
                            <a:headEnd/>
                            <a:tailEnd/>
                          </a:ln>
                        </pic:spPr>
                      </pic:pic>
                    </a:graphicData>
                  </a:graphic>
                </wp:inline>
              </w:drawing>
            </w:r>
          </w:p>
          <w:bookmarkEnd w:id="168"/>
        </w:tc>
      </w:tr>
    </w:tbl>
    <w:bookmarkEnd w:id="169"/>
    <w:p>
      <w:pPr>
        <w:pStyle w:val="BodyText"/>
      </w:pPr>
      <w:r>
        <w:t xml:space="preserve">Item fit and item-restscore are recommended to be used in parallel, while also examining residual patterns by reviewing standardized factor loadings on the first residual contrast as well as Yen’s Q3 residual correlations</w:t>
      </w:r>
      <w:r>
        <w:t xml:space="preserve"> </w:t>
      </w:r>
      <w:r>
        <w:t xml:space="preserve">(Christensen et al., 2017)</w:t>
      </w:r>
      <w:r>
        <w:t xml:space="preserve">.</w:t>
      </w:r>
      <w:r>
        <w:t xml:space="preserve"> </w:t>
      </w:r>
      <w:hyperlink w:anchor="fig-loadloc">
        <w:r>
          <w:rPr>
            <w:rStyle w:val="Hyperlink"/>
          </w:rPr>
          <w:t xml:space="preserve">Figure 23</w:t>
        </w:r>
      </w:hyperlink>
      <w:r>
        <w:t xml:space="preserve"> </w:t>
      </w:r>
      <w:r>
        <w:t xml:space="preserve">illustrates an example, using n = 400 and 3/20 items misfitting, where it is clearly seen how the misfitting items form a separate cluster on the x axis. Regarding residual correlations and critical values, the</w:t>
      </w:r>
      <w:r>
        <w:t xml:space="preserve"> </w:t>
      </w:r>
      <w:r>
        <w:rPr>
          <w:rStyle w:val="VerbatimChar"/>
        </w:rPr>
        <w:t xml:space="preserve">easyRasch</w:t>
      </w:r>
      <w:r>
        <w:t xml:space="preserve"> </w:t>
      </w:r>
      <w:r>
        <w:t xml:space="preserve">package also contains a function to use bootstrapping (</w:t>
      </w:r>
      <w:r>
        <w:rPr>
          <w:rStyle w:val="VerbatimChar"/>
        </w:rPr>
        <w:t xml:space="preserve">RIgetResidCor()</w:t>
      </w:r>
      <w:r>
        <w:t xml:space="preserve">), similar to the</w:t>
      </w:r>
      <w:r>
        <w:t xml:space="preserve"> </w:t>
      </w:r>
      <w:r>
        <w:rPr>
          <w:rStyle w:val="VerbatimChar"/>
        </w:rPr>
        <w:t xml:space="preserve">RIgetfit()</w:t>
      </w:r>
      <w:r>
        <w:t xml:space="preserve"> </w:t>
      </w:r>
      <w:r>
        <w:t xml:space="preserve">function, to determine the appropriate cutoff. This is described briefly in a blog post</w:t>
      </w:r>
      <w:r>
        <w:t xml:space="preserve"> </w:t>
      </w:r>
      <w:r>
        <w:t xml:space="preserve">(Johansson, 2024b)</w:t>
      </w:r>
      <w:r>
        <w:t xml:space="preserve"> </w:t>
      </w:r>
      <w:r>
        <w:t xml:space="preserve">and a simulation paper is under preparation.</w:t>
      </w:r>
    </w:p>
    <w:p>
      <w:pPr>
        <w:pStyle w:val="BodyText"/>
      </w:pPr>
      <w:r>
        <w:t xml:space="preserve">The findings reported here also make a good argument for removing one item at a time when the analysis indicates several misfitting items, starting with the most underfitting item. Such practice would reduce the risk for type-1 errors. This is especially relevant for n &gt;= 500 and when truly misfitting items are located close to the sample mean, when the risk for false positive misfit indication is elevated. In a situation where the analysis of residual patterns using PCA and Yen’s Q3 clearly shows clustering of items, it can be justified to remove several items simultaneously.</w:t>
      </w:r>
    </w:p>
    <w:p>
      <w:pPr>
        <w:pStyle w:val="BodyText"/>
      </w:pPr>
      <w:r>
        <w:t xml:space="preserve">Item fit in this paper has been assessed using data from individual respondent residuals in a sample. A useful additional method to analyze and understand item fit and misfit is to inspect item characteristic curves where the sample is divided into class intervals based on their total score and the group residuals are inspected</w:t>
      </w:r>
      <w:r>
        <w:t xml:space="preserve"> </w:t>
      </w:r>
      <w:r>
        <w:t xml:space="preserve">(Buchardt et al., 2023)</w:t>
      </w:r>
      <w:r>
        <w:t xml:space="preserve">.</w:t>
      </w:r>
    </w:p>
    <w:p>
      <w:pPr>
        <w:pStyle w:val="BodyText"/>
      </w:pPr>
      <w:r>
        <w:t xml:space="preserve">While the simulations in this paper have all used dichotomous data, all functions evaluated from the</w:t>
      </w:r>
      <w:r>
        <w:t xml:space="preserve"> </w:t>
      </w:r>
      <w:r>
        <w:rPr>
          <w:rStyle w:val="VerbatimChar"/>
        </w:rPr>
        <w:t xml:space="preserve">easyRasch</w:t>
      </w:r>
      <w:r>
        <w:t xml:space="preserve"> </w:t>
      </w:r>
      <w:r>
        <w:t xml:space="preserve">package also work with polytomous data using the Rasch Partial Credit Model</w:t>
      </w:r>
      <w:r>
        <w:t xml:space="preserve"> </w:t>
      </w:r>
      <w:r>
        <w:t xml:space="preserve">(PCM, Masters, 1982)</w:t>
      </w:r>
      <w:r>
        <w:t xml:space="preserve">.</w:t>
      </w:r>
    </w:p>
    <w:bookmarkStart w:id="170" w:name="limitations"/>
    <w:p>
      <w:pPr>
        <w:pStyle w:val="Heading2"/>
      </w:pPr>
      <w:r>
        <w:t xml:space="preserve">Limitations</w:t>
      </w:r>
    </w:p>
    <w:p>
      <w:pPr>
        <w:pStyle w:val="FirstParagraph"/>
      </w:pPr>
      <w:r>
        <w:t xml:space="preserve">When doing simulation studies there is always a balance to strike between trying to evaluate many scenarios and not having too high complexity. We have been keeping several things constant, such as item locations and number of items, which makes interpretation easier but may limit the applicability of the results.</w:t>
      </w:r>
    </w:p>
    <w:p>
      <w:pPr>
        <w:pStyle w:val="BodyText"/>
      </w:pPr>
      <w:r>
        <w:t xml:space="preserve">The total number of items and the proportion of misfit items clearly have effects on detection rate and could have been investigated further using more variations in sample sizes. The Rasch partial credit model for polytomous data would have been useful to include in a comparison study. When testing the bootstrapped item-restscore method, more variations in the number of bootstrap samples (iterations) might have been of interest, although the difference between 250 and 500 was small.</w:t>
      </w:r>
    </w:p>
    <w:bookmarkEnd w:id="170"/>
    <w:bookmarkEnd w:id="171"/>
    <w:bookmarkStart w:id="172" w:name="conclusion"/>
    <w:p>
      <w:pPr>
        <w:pStyle w:val="Heading1"/>
      </w:pPr>
      <w:r>
        <w:t xml:space="preserve">Conclusion</w:t>
      </w:r>
    </w:p>
    <w:p>
      <w:pPr>
        <w:pStyle w:val="FirstParagraph"/>
      </w:pPr>
      <w:r>
        <w:t xml:space="preserve">For sample sizes under 500, it seems best to rely mostly on item infit with simulation-based critical values, using 100 iterations with</w:t>
      </w:r>
      <w:r>
        <w:t xml:space="preserve"> </w:t>
      </w:r>
      <w:r>
        <w:rPr>
          <w:rStyle w:val="VerbatimChar"/>
        </w:rPr>
        <w:t xml:space="preserve">RIgetfit()</w:t>
      </w:r>
      <w:r>
        <w:t xml:space="preserve">. For sample sizes closer to 500, item-restscore is recommended as the primary method, either as a single-run test or bootstrapped. With samples larger than 500, bootstrapped item-restscore controls false positive rates well, while showing high rates of misfit detection. Using 250 iterations for the bootstrapped item-restscore seems adequate. In general, both infit and item-restscore are useful in the analysis process if you have a sample size below 1000.</w:t>
      </w:r>
    </w:p>
    <w:bookmarkEnd w:id="172"/>
    <w:bookmarkStart w:id="214" w:name="references"/>
    <w:p>
      <w:pPr>
        <w:pStyle w:val="Heading1"/>
      </w:pPr>
      <w:r>
        <w:t xml:space="preserve">References</w:t>
      </w:r>
    </w:p>
    <w:bookmarkStart w:id="213" w:name="refs"/>
    <w:bookmarkStart w:id="174" w:name="ref-andersen_goodness_1973"/>
    <w:p>
      <w:pPr>
        <w:pStyle w:val="Bibliography"/>
      </w:pPr>
      <w:r>
        <w:t xml:space="preserve">Andersen, E. B. (1973). A goodness of fit test for the rasch model.</w:t>
      </w:r>
      <w:r>
        <w:t xml:space="preserve"> </w:t>
      </w:r>
      <w:r>
        <w:rPr>
          <w:i/>
          <w:iCs/>
        </w:rPr>
        <w:t xml:space="preserve">Psychometrika</w:t>
      </w:r>
      <w:r>
        <w:t xml:space="preserve">,</w:t>
      </w:r>
      <w:r>
        <w:t xml:space="preserve"> </w:t>
      </w:r>
      <w:r>
        <w:rPr>
          <w:i/>
          <w:iCs/>
        </w:rPr>
        <w:t xml:space="preserve">38</w:t>
      </w:r>
      <w:r>
        <w:t xml:space="preserve">(1), 123–140.</w:t>
      </w:r>
      <w:r>
        <w:t xml:space="preserve"> </w:t>
      </w:r>
      <w:hyperlink r:id="rId173">
        <w:r>
          <w:rPr>
            <w:rStyle w:val="Hyperlink"/>
          </w:rPr>
          <w:t xml:space="preserve">https://doi.org/10.1007/BF02291180</w:t>
        </w:r>
      </w:hyperlink>
    </w:p>
    <w:bookmarkEnd w:id="174"/>
    <w:bookmarkStart w:id="176" w:name="ref-benjamini_controlling_1995"/>
    <w:p>
      <w:pPr>
        <w:pStyle w:val="Bibliography"/>
      </w:pPr>
      <w:r>
        <w:t xml:space="preserve">Benjamini, Y., &amp; Hochberg, Y. (1995). Controlling the</w:t>
      </w:r>
      <w:r>
        <w:t xml:space="preserve"> </w:t>
      </w:r>
      <w:r>
        <w:t xml:space="preserve">False</w:t>
      </w:r>
      <w:r>
        <w:t xml:space="preserve"> </w:t>
      </w:r>
      <w:r>
        <w:t xml:space="preserve">Discovery</w:t>
      </w:r>
      <w:r>
        <w:t xml:space="preserve"> </w:t>
      </w:r>
      <w:r>
        <w:t xml:space="preserve">Rate</w:t>
      </w:r>
      <w:r>
        <w:t xml:space="preserve">:</w:t>
      </w:r>
      <w:r>
        <w:t xml:space="preserve"> </w:t>
      </w:r>
      <w:r>
        <w:t xml:space="preserve">A</w:t>
      </w:r>
      <w:r>
        <w:t xml:space="preserve"> </w:t>
      </w:r>
      <w:r>
        <w:t xml:space="preserve">Practical</w:t>
      </w:r>
      <w:r>
        <w:t xml:space="preserve"> </w:t>
      </w:r>
      <w:r>
        <w:t xml:space="preserve">and</w:t>
      </w:r>
      <w:r>
        <w:t xml:space="preserve"> </w:t>
      </w:r>
      <w:r>
        <w:t xml:space="preserve">Powerful</w:t>
      </w:r>
      <w:r>
        <w:t xml:space="preserve"> </w:t>
      </w:r>
      <w:r>
        <w:t xml:space="preserve">Approach</w:t>
      </w:r>
      <w:r>
        <w:t xml:space="preserve"> </w:t>
      </w:r>
      <w:r>
        <w:t xml:space="preserve">to</w:t>
      </w:r>
      <w:r>
        <w:t xml:space="preserve"> </w:t>
      </w:r>
      <w:r>
        <w:t xml:space="preserve">Multiple</w:t>
      </w:r>
      <w:r>
        <w:t xml:space="preserve"> </w:t>
      </w:r>
      <w:r>
        <w:t xml:space="preserve">Testing</w:t>
      </w:r>
      <w:r>
        <w:t xml:space="preserve">.</w:t>
      </w:r>
      <w:r>
        <w:t xml:space="preserve"> </w:t>
      </w:r>
      <w:r>
        <w:rPr>
          <w:i/>
          <w:iCs/>
        </w:rPr>
        <w:t xml:space="preserve">Journal of the Royal Statistical Society: Series B (Methodological)</w:t>
      </w:r>
      <w:r>
        <w:t xml:space="preserve">,</w:t>
      </w:r>
      <w:r>
        <w:t xml:space="preserve"> </w:t>
      </w:r>
      <w:r>
        <w:rPr>
          <w:i/>
          <w:iCs/>
        </w:rPr>
        <w:t xml:space="preserve">57</w:t>
      </w:r>
      <w:r>
        <w:t xml:space="preserve">(1), 289–300.</w:t>
      </w:r>
      <w:r>
        <w:t xml:space="preserve"> </w:t>
      </w:r>
      <w:hyperlink r:id="rId175">
        <w:r>
          <w:rPr>
            <w:rStyle w:val="Hyperlink"/>
          </w:rPr>
          <w:t xml:space="preserve">https://doi.org/10.1111/j.2517-6161.1995.tb02031.x</w:t>
        </w:r>
      </w:hyperlink>
    </w:p>
    <w:bookmarkEnd w:id="176"/>
    <w:bookmarkStart w:id="177" w:name="ref-bond_applying_2015"/>
    <w:p>
      <w:pPr>
        <w:pStyle w:val="Bibliography"/>
      </w:pPr>
      <w:r>
        <w:t xml:space="preserve">Bond, T., &amp; Fox, C. M. (2015).</w:t>
      </w:r>
      <w:r>
        <w:t xml:space="preserve"> </w:t>
      </w:r>
      <w:r>
        <w:rPr>
          <w:i/>
          <w:iCs/>
        </w:rPr>
        <w:t xml:space="preserve">Applying the</w:t>
      </w:r>
      <w:r>
        <w:rPr>
          <w:i/>
          <w:iCs/>
        </w:rPr>
        <w:t xml:space="preserve"> </w:t>
      </w:r>
      <w:r>
        <w:rPr>
          <w:i/>
          <w:iCs/>
        </w:rPr>
        <w:t xml:space="preserve">Rasch</w:t>
      </w:r>
      <w:r>
        <w:rPr>
          <w:i/>
          <w:iCs/>
        </w:rPr>
        <w:t xml:space="preserve"> </w:t>
      </w:r>
      <w:r>
        <w:rPr>
          <w:i/>
          <w:iCs/>
        </w:rPr>
        <w:t xml:space="preserve">Model</w:t>
      </w:r>
      <w:r>
        <w:rPr>
          <w:i/>
          <w:iCs/>
        </w:rPr>
        <w:t xml:space="preserve">:</w:t>
      </w:r>
      <w:r>
        <w:rPr>
          <w:i/>
          <w:iCs/>
        </w:rPr>
        <w:t xml:space="preserve"> </w:t>
      </w:r>
      <w:r>
        <w:rPr>
          <w:i/>
          <w:iCs/>
        </w:rPr>
        <w:t xml:space="preserve">Fundamental</w:t>
      </w:r>
      <w:r>
        <w:rPr>
          <w:i/>
          <w:iCs/>
        </w:rPr>
        <w:t xml:space="preserve"> </w:t>
      </w:r>
      <w:r>
        <w:rPr>
          <w:i/>
          <w:iCs/>
        </w:rPr>
        <w:t xml:space="preserve">Measurement</w:t>
      </w:r>
      <w:r>
        <w:rPr>
          <w:i/>
          <w:iCs/>
        </w:rPr>
        <w:t xml:space="preserve"> </w:t>
      </w:r>
      <w:r>
        <w:rPr>
          <w:i/>
          <w:iCs/>
        </w:rPr>
        <w:t xml:space="preserve">in the</w:t>
      </w:r>
      <w:r>
        <w:rPr>
          <w:i/>
          <w:iCs/>
        </w:rPr>
        <w:t xml:space="preserve"> </w:t>
      </w:r>
      <w:r>
        <w:rPr>
          <w:i/>
          <w:iCs/>
        </w:rPr>
        <w:t xml:space="preserve">Human</w:t>
      </w:r>
      <w:r>
        <w:rPr>
          <w:i/>
          <w:iCs/>
        </w:rPr>
        <w:t xml:space="preserve"> </w:t>
      </w:r>
      <w:r>
        <w:rPr>
          <w:i/>
          <w:iCs/>
        </w:rPr>
        <w:t xml:space="preserve">Sciences</w:t>
      </w:r>
      <w:r>
        <w:t xml:space="preserve"> </w:t>
      </w:r>
      <w:r>
        <w:t xml:space="preserve">(3rd ed.). Routledge.</w:t>
      </w:r>
    </w:p>
    <w:bookmarkEnd w:id="177"/>
    <w:bookmarkStart w:id="178" w:name="ref-buchardt_visualizing_2023"/>
    <w:p>
      <w:pPr>
        <w:pStyle w:val="Bibliography"/>
      </w:pPr>
      <w:r>
        <w:t xml:space="preserve">Buchardt, A.-S., Christensen, K. B., &amp; Jensen, N. (2023). Visualizing</w:t>
      </w:r>
      <w:r>
        <w:t xml:space="preserve"> </w:t>
      </w:r>
      <w:r>
        <w:t xml:space="preserve">Rasch</w:t>
      </w:r>
      <w:r>
        <w:t xml:space="preserve"> </w:t>
      </w:r>
      <w:r>
        <w:t xml:space="preserve">item fit using conditional item characteristic curves in</w:t>
      </w:r>
      <w:r>
        <w:t xml:space="preserve"> </w:t>
      </w:r>
      <w:r>
        <w:t xml:space="preserve">R</w:t>
      </w:r>
      <w:r>
        <w:t xml:space="preserve">.</w:t>
      </w:r>
      <w:r>
        <w:t xml:space="preserve"> </w:t>
      </w:r>
      <w:r>
        <w:rPr>
          <w:i/>
          <w:iCs/>
        </w:rPr>
        <w:t xml:space="preserve">Psychological Test and Assessment Modeling</w:t>
      </w:r>
      <w:r>
        <w:t xml:space="preserve">,</w:t>
      </w:r>
      <w:r>
        <w:t xml:space="preserve"> </w:t>
      </w:r>
      <w:r>
        <w:rPr>
          <w:i/>
          <w:iCs/>
        </w:rPr>
        <w:t xml:space="preserve">65</w:t>
      </w:r>
      <w:r>
        <w:t xml:space="preserve">(2), 206–219.</w:t>
      </w:r>
    </w:p>
    <w:bookmarkEnd w:id="178"/>
    <w:bookmarkStart w:id="180" w:name="ref-chou_checking_2010"/>
    <w:p>
      <w:pPr>
        <w:pStyle w:val="Bibliography"/>
      </w:pPr>
      <w:r>
        <w:t xml:space="preserve">Chou, Y.-T., &amp; Wang, W.-C. (2010). Checking</w:t>
      </w:r>
      <w:r>
        <w:t xml:space="preserve"> </w:t>
      </w:r>
      <w:r>
        <w:t xml:space="preserve">Dimensionality</w:t>
      </w:r>
      <w:r>
        <w:t xml:space="preserve"> </w:t>
      </w:r>
      <w:r>
        <w:t xml:space="preserve">in</w:t>
      </w:r>
      <w:r>
        <w:t xml:space="preserve"> </w:t>
      </w:r>
      <w:r>
        <w:t xml:space="preserve">Item</w:t>
      </w:r>
      <w:r>
        <w:t xml:space="preserve"> </w:t>
      </w:r>
      <w:r>
        <w:t xml:space="preserve">Response</w:t>
      </w:r>
      <w:r>
        <w:t xml:space="preserve"> </w:t>
      </w:r>
      <w:r>
        <w:t xml:space="preserve">Models</w:t>
      </w:r>
      <w:r>
        <w:t xml:space="preserve"> </w:t>
      </w:r>
      <w:r>
        <w:t xml:space="preserve">With</w:t>
      </w:r>
      <w:r>
        <w:t xml:space="preserve"> </w:t>
      </w:r>
      <w:r>
        <w:t xml:space="preserve">Principal</w:t>
      </w:r>
      <w:r>
        <w:t xml:space="preserve"> </w:t>
      </w:r>
      <w:r>
        <w:t xml:space="preserve">Component</w:t>
      </w:r>
      <w:r>
        <w:t xml:space="preserve"> </w:t>
      </w:r>
      <w:r>
        <w:t xml:space="preserve">Analysis</w:t>
      </w:r>
      <w:r>
        <w:t xml:space="preserve"> </w:t>
      </w:r>
      <w:r>
        <w:t xml:space="preserve">on</w:t>
      </w:r>
      <w:r>
        <w:t xml:space="preserve"> </w:t>
      </w:r>
      <w:r>
        <w:t xml:space="preserve">Standardized</w:t>
      </w:r>
      <w:r>
        <w:t xml:space="preserve"> </w:t>
      </w:r>
      <w:r>
        <w:t xml:space="preserve">Residuals</w:t>
      </w:r>
      <w:r>
        <w:t xml:space="preserve">.</w:t>
      </w:r>
      <w:r>
        <w:t xml:space="preserve"> </w:t>
      </w:r>
      <w:r>
        <w:rPr>
          <w:i/>
          <w:iCs/>
        </w:rPr>
        <w:t xml:space="preserve">Educational and Psychological Measurement</w:t>
      </w:r>
      <w:r>
        <w:t xml:space="preserve">,</w:t>
      </w:r>
      <w:r>
        <w:t xml:space="preserve"> </w:t>
      </w:r>
      <w:r>
        <w:rPr>
          <w:i/>
          <w:iCs/>
        </w:rPr>
        <w:t xml:space="preserve">70</w:t>
      </w:r>
      <w:r>
        <w:t xml:space="preserve">(5), 717–731.</w:t>
      </w:r>
      <w:r>
        <w:t xml:space="preserve"> </w:t>
      </w:r>
      <w:hyperlink r:id="rId179">
        <w:r>
          <w:rPr>
            <w:rStyle w:val="Hyperlink"/>
          </w:rPr>
          <w:t xml:space="preserve">https://doi.org/10.1177/0013164410379322</w:t>
        </w:r>
      </w:hyperlink>
    </w:p>
    <w:bookmarkEnd w:id="180"/>
    <w:bookmarkStart w:id="182" w:name="ref-christensen_item_2013"/>
    <w:p>
      <w:pPr>
        <w:pStyle w:val="Bibliography"/>
      </w:pPr>
      <w:r>
        <w:t xml:space="preserve">Christensen, K. B., &amp; Kreiner, S. (2013). Item</w:t>
      </w:r>
      <w:r>
        <w:t xml:space="preserve"> </w:t>
      </w:r>
      <w:r>
        <w:t xml:space="preserve">Fit</w:t>
      </w:r>
      <w:r>
        <w:t xml:space="preserve"> </w:t>
      </w:r>
      <w:r>
        <w:t xml:space="preserve">Statistics</w:t>
      </w:r>
      <w:r>
        <w:t xml:space="preserve">. In</w:t>
      </w:r>
      <w:r>
        <w:t xml:space="preserve"> </w:t>
      </w:r>
      <w:r>
        <w:rPr>
          <w:i/>
          <w:iCs/>
        </w:rPr>
        <w:t xml:space="preserve">Rasch</w:t>
      </w:r>
      <w:r>
        <w:rPr>
          <w:i/>
          <w:iCs/>
        </w:rPr>
        <w:t xml:space="preserve"> </w:t>
      </w:r>
      <w:r>
        <w:rPr>
          <w:i/>
          <w:iCs/>
        </w:rPr>
        <w:t xml:space="preserve">Models</w:t>
      </w:r>
      <w:r>
        <w:rPr>
          <w:i/>
          <w:iCs/>
        </w:rPr>
        <w:t xml:space="preserve"> </w:t>
      </w:r>
      <w:r>
        <w:rPr>
          <w:i/>
          <w:iCs/>
        </w:rPr>
        <w:t xml:space="preserve">in</w:t>
      </w:r>
      <w:r>
        <w:rPr>
          <w:i/>
          <w:iCs/>
        </w:rPr>
        <w:t xml:space="preserve"> </w:t>
      </w:r>
      <w:r>
        <w:rPr>
          <w:i/>
          <w:iCs/>
        </w:rPr>
        <w:t xml:space="preserve">Health</w:t>
      </w:r>
      <w:r>
        <w:t xml:space="preserve"> </w:t>
      </w:r>
      <w:r>
        <w:t xml:space="preserve">(pp. 83–104). John Wiley &amp; Sons, Ltd.</w:t>
      </w:r>
      <w:r>
        <w:t xml:space="preserve"> </w:t>
      </w:r>
      <w:hyperlink r:id="rId181">
        <w:r>
          <w:rPr>
            <w:rStyle w:val="Hyperlink"/>
          </w:rPr>
          <w:t xml:space="preserve">https://doi.org/10.1002/9781118574454.ch5</w:t>
        </w:r>
      </w:hyperlink>
    </w:p>
    <w:bookmarkEnd w:id="182"/>
    <w:bookmarkStart w:id="184" w:name="ref-christensen_critical_2017"/>
    <w:p>
      <w:pPr>
        <w:pStyle w:val="Bibliography"/>
      </w:pPr>
      <w:r>
        <w:t xml:space="preserve">Christensen, K. B., Makransky, G., &amp; Horton, M. (2017). Critical</w:t>
      </w:r>
      <w:r>
        <w:t xml:space="preserve"> </w:t>
      </w:r>
      <w:r>
        <w:t xml:space="preserve">Values</w:t>
      </w:r>
      <w:r>
        <w:t xml:space="preserve"> </w:t>
      </w:r>
      <w:r>
        <w:t xml:space="preserve">for</w:t>
      </w:r>
      <w:r>
        <w:t xml:space="preserve"> </w:t>
      </w:r>
      <w:r>
        <w:t xml:space="preserve">Yen</w:t>
      </w:r>
      <w:r>
        <w:t xml:space="preserve">’s</w:t>
      </w:r>
      <w:r>
        <w:t xml:space="preserve"> </w:t>
      </w:r>
      <w:r>
        <w:t xml:space="preserve">Q3</w:t>
      </w:r>
      <w:r>
        <w:t xml:space="preserve">:</w:t>
      </w:r>
      <w:r>
        <w:t xml:space="preserve"> </w:t>
      </w:r>
      <w:r>
        <w:t xml:space="preserve">Identification</w:t>
      </w:r>
      <w:r>
        <w:t xml:space="preserve"> </w:t>
      </w:r>
      <w:r>
        <w:t xml:space="preserve">of</w:t>
      </w:r>
      <w:r>
        <w:t xml:space="preserve"> </w:t>
      </w:r>
      <w:r>
        <w:t xml:space="preserve">Local</w:t>
      </w:r>
      <w:r>
        <w:t xml:space="preserve"> </w:t>
      </w:r>
      <w:r>
        <w:t xml:space="preserve">Dependence</w:t>
      </w:r>
      <w:r>
        <w:t xml:space="preserve"> </w:t>
      </w:r>
      <w:r>
        <w:t xml:space="preserve">in the</w:t>
      </w:r>
      <w:r>
        <w:t xml:space="preserve"> </w:t>
      </w:r>
      <w:r>
        <w:t xml:space="preserve">Rasch</w:t>
      </w:r>
      <w:r>
        <w:t xml:space="preserve"> </w:t>
      </w:r>
      <w:r>
        <w:t xml:space="preserve">Model</w:t>
      </w:r>
      <w:r>
        <w:t xml:space="preserve"> </w:t>
      </w:r>
      <w:r>
        <w:t xml:space="preserve">Using</w:t>
      </w:r>
      <w:r>
        <w:t xml:space="preserve"> </w:t>
      </w:r>
      <w:r>
        <w:t xml:space="preserve">Residual</w:t>
      </w:r>
      <w:r>
        <w:t xml:space="preserve"> </w:t>
      </w:r>
      <w:r>
        <w:t xml:space="preserve">Correlations</w:t>
      </w:r>
      <w:r>
        <w:t xml:space="preserve">.</w:t>
      </w:r>
      <w:r>
        <w:t xml:space="preserve"> </w:t>
      </w:r>
      <w:r>
        <w:rPr>
          <w:i/>
          <w:iCs/>
        </w:rPr>
        <w:t xml:space="preserve">Applied Psychological Measurement</w:t>
      </w:r>
      <w:r>
        <w:t xml:space="preserve">,</w:t>
      </w:r>
      <w:r>
        <w:t xml:space="preserve"> </w:t>
      </w:r>
      <w:r>
        <w:rPr>
          <w:i/>
          <w:iCs/>
        </w:rPr>
        <w:t xml:space="preserve">41</w:t>
      </w:r>
      <w:r>
        <w:t xml:space="preserve">(3), 178–194.</w:t>
      </w:r>
      <w:r>
        <w:t xml:space="preserve"> </w:t>
      </w:r>
      <w:hyperlink r:id="rId183">
        <w:r>
          <w:rPr>
            <w:rStyle w:val="Hyperlink"/>
          </w:rPr>
          <w:t xml:space="preserve">https://doi.org/10.1177/0146621616677520</w:t>
        </w:r>
      </w:hyperlink>
    </w:p>
    <w:bookmarkEnd w:id="184"/>
    <w:bookmarkStart w:id="186" w:name="ref-debelak_evaluation_2019"/>
    <w:p>
      <w:pPr>
        <w:pStyle w:val="Bibliography"/>
      </w:pPr>
      <w:r>
        <w:t xml:space="preserve">Debelak, R. (2019). An</w:t>
      </w:r>
      <w:r>
        <w:t xml:space="preserve"> </w:t>
      </w:r>
      <w:r>
        <w:t xml:space="preserve">Evaluation</w:t>
      </w:r>
      <w:r>
        <w:t xml:space="preserve"> </w:t>
      </w:r>
      <w:r>
        <w:t xml:space="preserve">of</w:t>
      </w:r>
      <w:r>
        <w:t xml:space="preserve"> </w:t>
      </w:r>
      <w:r>
        <w:t xml:space="preserve">Overall</w:t>
      </w:r>
      <w:r>
        <w:t xml:space="preserve"> </w:t>
      </w:r>
      <w:r>
        <w:t xml:space="preserve">Goodness</w:t>
      </w:r>
      <w:r>
        <w:t xml:space="preserve">-of-</w:t>
      </w:r>
      <w:r>
        <w:t xml:space="preserve">Fit</w:t>
      </w:r>
      <w:r>
        <w:t xml:space="preserve"> </w:t>
      </w:r>
      <w:r>
        <w:t xml:space="preserve">Tests</w:t>
      </w:r>
      <w:r>
        <w:t xml:space="preserve"> </w:t>
      </w:r>
      <w:r>
        <w:t xml:space="preserve">for the</w:t>
      </w:r>
      <w:r>
        <w:t xml:space="preserve"> </w:t>
      </w:r>
      <w:r>
        <w:t xml:space="preserve">Rasch</w:t>
      </w:r>
      <w:r>
        <w:t xml:space="preserve"> </w:t>
      </w:r>
      <w:r>
        <w:t xml:space="preserve">Model</w:t>
      </w:r>
      <w:r>
        <w:t xml:space="preserve">.</w:t>
      </w:r>
      <w:r>
        <w:t xml:space="preserve"> </w:t>
      </w:r>
      <w:r>
        <w:rPr>
          <w:i/>
          <w:iCs/>
        </w:rPr>
        <w:t xml:space="preserve">Frontiers in Psychology</w:t>
      </w:r>
      <w:r>
        <w:t xml:space="preserve">,</w:t>
      </w:r>
      <w:r>
        <w:t xml:space="preserve"> </w:t>
      </w:r>
      <w:r>
        <w:rPr>
          <w:i/>
          <w:iCs/>
        </w:rPr>
        <w:t xml:space="preserve">9</w:t>
      </w:r>
      <w:r>
        <w:t xml:space="preserve">.</w:t>
      </w:r>
      <w:r>
        <w:t xml:space="preserve"> </w:t>
      </w:r>
      <w:hyperlink r:id="rId185">
        <w:r>
          <w:rPr>
            <w:rStyle w:val="Hyperlink"/>
          </w:rPr>
          <w:t xml:space="preserve">https://doi.org/10.3389/fpsyg.2018.02710</w:t>
        </w:r>
      </w:hyperlink>
    </w:p>
    <w:bookmarkEnd w:id="186"/>
    <w:bookmarkStart w:id="188" w:name="ref-goodman_measures_1954"/>
    <w:p>
      <w:pPr>
        <w:pStyle w:val="Bibliography"/>
      </w:pPr>
      <w:r>
        <w:t xml:space="preserve">Goodman, L. A., &amp; Kruskal, W. H. (1954). Measures of</w:t>
      </w:r>
      <w:r>
        <w:t xml:space="preserve"> </w:t>
      </w:r>
      <w:r>
        <w:t xml:space="preserve">Association</w:t>
      </w:r>
      <w:r>
        <w:t xml:space="preserve"> </w:t>
      </w:r>
      <w:r>
        <w:t xml:space="preserve">for</w:t>
      </w:r>
      <w:r>
        <w:t xml:space="preserve"> </w:t>
      </w:r>
      <w:r>
        <w:t xml:space="preserve">Cross</w:t>
      </w:r>
      <w:r>
        <w:t xml:space="preserve"> </w:t>
      </w:r>
      <w:r>
        <w:t xml:space="preserve">Classifications</w:t>
      </w:r>
      <w:r>
        <w:t xml:space="preserve">.</w:t>
      </w:r>
      <w:r>
        <w:t xml:space="preserve"> </w:t>
      </w:r>
      <w:r>
        <w:rPr>
          <w:i/>
          <w:iCs/>
        </w:rPr>
        <w:t xml:space="preserve">Journal of the American Statistical Association</w:t>
      </w:r>
      <w:r>
        <w:t xml:space="preserve">,</w:t>
      </w:r>
      <w:r>
        <w:t xml:space="preserve"> </w:t>
      </w:r>
      <w:r>
        <w:rPr>
          <w:i/>
          <w:iCs/>
        </w:rPr>
        <w:t xml:space="preserve">49</w:t>
      </w:r>
      <w:r>
        <w:t xml:space="preserve">(268), 732–764.</w:t>
      </w:r>
      <w:r>
        <w:t xml:space="preserve"> </w:t>
      </w:r>
      <w:hyperlink r:id="rId187">
        <w:r>
          <w:rPr>
            <w:rStyle w:val="Hyperlink"/>
          </w:rPr>
          <w:t xml:space="preserve">https://doi.org/10.2307/2281536</w:t>
        </w:r>
      </w:hyperlink>
    </w:p>
    <w:bookmarkEnd w:id="188"/>
    <w:bookmarkStart w:id="190" w:name="ref-easyrasch"/>
    <w:p>
      <w:pPr>
        <w:pStyle w:val="Bibliography"/>
      </w:pPr>
      <w:r>
        <w:t xml:space="preserve">Johansson, M. (2024a).</w:t>
      </w:r>
      <w:r>
        <w:t xml:space="preserve"> </w:t>
      </w:r>
      <w:r>
        <w:rPr>
          <w:i/>
          <w:iCs/>
        </w:rPr>
        <w:t xml:space="preserve">easyRasch: Psychometric analysis in r with rasch measurement theory</w:t>
      </w:r>
      <w:r>
        <w:t xml:space="preserve">.</w:t>
      </w:r>
      <w:r>
        <w:t xml:space="preserve"> </w:t>
      </w:r>
      <w:hyperlink r:id="rId189">
        <w:r>
          <w:rPr>
            <w:rStyle w:val="Hyperlink"/>
          </w:rPr>
          <w:t xml:space="preserve">https://github.com/pgmj/easyRasch</w:t>
        </w:r>
      </w:hyperlink>
    </w:p>
    <w:bookmarkEnd w:id="190"/>
    <w:bookmarkStart w:id="192" w:name="ref-johansson_simulation_2024"/>
    <w:p>
      <w:pPr>
        <w:pStyle w:val="Bibliography"/>
      </w:pPr>
      <w:r>
        <w:t xml:space="preserve">Johansson, M. (2024b). Simulation based cutoff values for</w:t>
      </w:r>
      <w:r>
        <w:t xml:space="preserve"> </w:t>
      </w:r>
      <w:r>
        <w:t xml:space="preserve">Rasch</w:t>
      </w:r>
      <w:r>
        <w:t xml:space="preserve"> </w:t>
      </w:r>
      <w:r>
        <w:t xml:space="preserve">item fit and residual correlations. In</w:t>
      </w:r>
      <w:r>
        <w:t xml:space="preserve"> </w:t>
      </w:r>
      <w:r>
        <w:rPr>
          <w:i/>
          <w:iCs/>
        </w:rPr>
        <w:t xml:space="preserve">R, Rasch, etc</w:t>
      </w:r>
      <w:r>
        <w:t xml:space="preserve">.</w:t>
      </w:r>
      <w:r>
        <w:t xml:space="preserve"> </w:t>
      </w:r>
      <w:hyperlink r:id="rId191">
        <w:r>
          <w:rPr>
            <w:rStyle w:val="Hyperlink"/>
          </w:rPr>
          <w:t xml:space="preserve">https://pgmj.github.io/simcutoffs.html</w:t>
        </w:r>
      </w:hyperlink>
    </w:p>
    <w:bookmarkEnd w:id="192"/>
    <w:bookmarkStart w:id="194" w:name="ref-kreiner_note_2011"/>
    <w:p>
      <w:pPr>
        <w:pStyle w:val="Bibliography"/>
      </w:pPr>
      <w:r>
        <w:t xml:space="preserve">Kreiner, S. (2011). A</w:t>
      </w:r>
      <w:r>
        <w:t xml:space="preserve"> </w:t>
      </w:r>
      <w:r>
        <w:t xml:space="preserve">Note</w:t>
      </w:r>
      <w:r>
        <w:t xml:space="preserve"> </w:t>
      </w:r>
      <w:r>
        <w:t xml:space="preserve">on</w:t>
      </w:r>
      <w:r>
        <w:t xml:space="preserve"> </w:t>
      </w:r>
      <w:r>
        <w:t xml:space="preserve">Item</w:t>
      </w:r>
      <w:r>
        <w:t xml:space="preserve">–</w:t>
      </w:r>
      <w:r>
        <w:t xml:space="preserve">Restscore</w:t>
      </w:r>
      <w:r>
        <w:t xml:space="preserve"> </w:t>
      </w:r>
      <w:r>
        <w:t xml:space="preserve">Association</w:t>
      </w:r>
      <w:r>
        <w:t xml:space="preserve"> </w:t>
      </w:r>
      <w:r>
        <w:t xml:space="preserve">in</w:t>
      </w:r>
      <w:r>
        <w:t xml:space="preserve"> </w:t>
      </w:r>
      <w:r>
        <w:t xml:space="preserve">Rasch</w:t>
      </w:r>
      <w:r>
        <w:t xml:space="preserve"> </w:t>
      </w:r>
      <w:r>
        <w:t xml:space="preserve">Models</w:t>
      </w:r>
      <w:r>
        <w:t xml:space="preserve">.</w:t>
      </w:r>
      <w:r>
        <w:t xml:space="preserve"> </w:t>
      </w:r>
      <w:r>
        <w:rPr>
          <w:i/>
          <w:iCs/>
        </w:rPr>
        <w:t xml:space="preserve">Applied Psychological Measurement</w:t>
      </w:r>
      <w:r>
        <w:t xml:space="preserve">,</w:t>
      </w:r>
      <w:r>
        <w:t xml:space="preserve"> </w:t>
      </w:r>
      <w:r>
        <w:rPr>
          <w:i/>
          <w:iCs/>
        </w:rPr>
        <w:t xml:space="preserve">35</w:t>
      </w:r>
      <w:r>
        <w:t xml:space="preserve">(7), 557–561.</w:t>
      </w:r>
      <w:r>
        <w:t xml:space="preserve"> </w:t>
      </w:r>
      <w:hyperlink r:id="rId193">
        <w:r>
          <w:rPr>
            <w:rStyle w:val="Hyperlink"/>
          </w:rPr>
          <w:t xml:space="preserve">https://doi.org/10.1177/0146621611410227</w:t>
        </w:r>
      </w:hyperlink>
    </w:p>
    <w:bookmarkEnd w:id="194"/>
    <w:bookmarkStart w:id="196" w:name="ref-mair_extended_2007"/>
    <w:p>
      <w:pPr>
        <w:pStyle w:val="Bibliography"/>
      </w:pPr>
      <w:r>
        <w:t xml:space="preserve">Mair, P., &amp; Hatzinger, R. (2007). Extended</w:t>
      </w:r>
      <w:r>
        <w:t xml:space="preserve"> </w:t>
      </w:r>
      <w:r>
        <w:t xml:space="preserve">Rasch</w:t>
      </w:r>
      <w:r>
        <w:t xml:space="preserve"> </w:t>
      </w:r>
      <w:r>
        <w:t xml:space="preserve">Modeling</w:t>
      </w:r>
      <w:r>
        <w:t xml:space="preserve">:</w:t>
      </w:r>
      <w:r>
        <w:t xml:space="preserve"> </w:t>
      </w:r>
      <w:r>
        <w:t xml:space="preserve">The</w:t>
      </w:r>
      <w:r>
        <w:t xml:space="preserve"> </w:t>
      </w:r>
      <w:r>
        <w:t xml:space="preserve">eRm</w:t>
      </w:r>
      <w:r>
        <w:t xml:space="preserve"> </w:t>
      </w:r>
      <w:r>
        <w:t xml:space="preserve">Package</w:t>
      </w:r>
      <w:r>
        <w:t xml:space="preserve"> </w:t>
      </w:r>
      <w:r>
        <w:t xml:space="preserve">for the</w:t>
      </w:r>
      <w:r>
        <w:t xml:space="preserve"> </w:t>
      </w:r>
      <w:r>
        <w:t xml:space="preserve">Application</w:t>
      </w:r>
      <w:r>
        <w:t xml:space="preserve"> </w:t>
      </w:r>
      <w:r>
        <w:t xml:space="preserve">of</w:t>
      </w:r>
      <w:r>
        <w:t xml:space="preserve"> </w:t>
      </w:r>
      <w:r>
        <w:t xml:space="preserve">IRT</w:t>
      </w:r>
      <w:r>
        <w:t xml:space="preserve"> </w:t>
      </w:r>
      <w:r>
        <w:t xml:space="preserve">Models</w:t>
      </w:r>
      <w:r>
        <w:t xml:space="preserve"> </w:t>
      </w:r>
      <w:r>
        <w:t xml:space="preserve">in</w:t>
      </w:r>
      <w:r>
        <w:t xml:space="preserve"> </w:t>
      </w:r>
      <w:r>
        <w:t xml:space="preserve">R</w:t>
      </w:r>
      <w:r>
        <w:t xml:space="preserve">.</w:t>
      </w:r>
      <w:r>
        <w:t xml:space="preserve"> </w:t>
      </w:r>
      <w:r>
        <w:rPr>
          <w:i/>
          <w:iCs/>
        </w:rPr>
        <w:t xml:space="preserve">Journal of Statistical Software</w:t>
      </w:r>
      <w:r>
        <w:t xml:space="preserve">,</w:t>
      </w:r>
      <w:r>
        <w:t xml:space="preserve"> </w:t>
      </w:r>
      <w:r>
        <w:rPr>
          <w:i/>
          <w:iCs/>
        </w:rPr>
        <w:t xml:space="preserve">20</w:t>
      </w:r>
      <w:r>
        <w:t xml:space="preserve">(1), 1–20.</w:t>
      </w:r>
      <w:r>
        <w:t xml:space="preserve"> </w:t>
      </w:r>
      <w:hyperlink r:id="rId195">
        <w:r>
          <w:rPr>
            <w:rStyle w:val="Hyperlink"/>
          </w:rPr>
          <w:t xml:space="preserve">https://doi.org/10.18637/jss.v020.i09</w:t>
        </w:r>
      </w:hyperlink>
    </w:p>
    <w:bookmarkEnd w:id="196"/>
    <w:bookmarkStart w:id="198" w:name="ref-masters_rasch_1982"/>
    <w:p>
      <w:pPr>
        <w:pStyle w:val="Bibliography"/>
      </w:pPr>
      <w:r>
        <w:t xml:space="preserve">Masters, G. N. (1982). A</w:t>
      </w:r>
      <w:r>
        <w:t xml:space="preserve"> </w:t>
      </w:r>
      <w:r>
        <w:t xml:space="preserve">Rasch</w:t>
      </w:r>
      <w:r>
        <w:t xml:space="preserve"> </w:t>
      </w:r>
      <w:r>
        <w:t xml:space="preserve">Model</w:t>
      </w:r>
      <w:r>
        <w:t xml:space="preserve"> </w:t>
      </w:r>
      <w:r>
        <w:t xml:space="preserve">for</w:t>
      </w:r>
      <w:r>
        <w:t xml:space="preserve"> </w:t>
      </w:r>
      <w:r>
        <w:t xml:space="preserve">Partial</w:t>
      </w:r>
      <w:r>
        <w:t xml:space="preserve"> </w:t>
      </w:r>
      <w:r>
        <w:t xml:space="preserve">Credit</w:t>
      </w:r>
      <w:r>
        <w:t xml:space="preserve"> </w:t>
      </w:r>
      <w:r>
        <w:t xml:space="preserve">Scoring</w:t>
      </w:r>
      <w:r>
        <w:t xml:space="preserve">.</w:t>
      </w:r>
      <w:r>
        <w:t xml:space="preserve"> </w:t>
      </w:r>
      <w:r>
        <w:rPr>
          <w:i/>
          <w:iCs/>
        </w:rPr>
        <w:t xml:space="preserve">Psychometrika</w:t>
      </w:r>
      <w:r>
        <w:t xml:space="preserve">,</w:t>
      </w:r>
      <w:r>
        <w:t xml:space="preserve"> </w:t>
      </w:r>
      <w:r>
        <w:rPr>
          <w:i/>
          <w:iCs/>
        </w:rPr>
        <w:t xml:space="preserve">47</w:t>
      </w:r>
      <w:r>
        <w:t xml:space="preserve">(2), 149–174.</w:t>
      </w:r>
      <w:r>
        <w:t xml:space="preserve"> </w:t>
      </w:r>
      <w:hyperlink r:id="rId197">
        <w:r>
          <w:rPr>
            <w:rStyle w:val="Hyperlink"/>
          </w:rPr>
          <w:t xml:space="preserve">https://doi.org/10.1007/BF02296272</w:t>
        </w:r>
      </w:hyperlink>
    </w:p>
    <w:bookmarkEnd w:id="198"/>
    <w:bookmarkStart w:id="200" w:name="ref-mcneish_direct_2024"/>
    <w:p>
      <w:pPr>
        <w:pStyle w:val="Bibliography"/>
      </w:pPr>
      <w:r>
        <w:t xml:space="preserve">McNeish, D., &amp; Wolf, M. G. (2024). Direct</w:t>
      </w:r>
      <w:r>
        <w:t xml:space="preserve"> </w:t>
      </w:r>
      <w:r>
        <w:t xml:space="preserve">Discrepancy</w:t>
      </w:r>
      <w:r>
        <w:t xml:space="preserve"> </w:t>
      </w:r>
      <w:r>
        <w:t xml:space="preserve">Dynamic</w:t>
      </w:r>
      <w:r>
        <w:t xml:space="preserve"> </w:t>
      </w:r>
      <w:r>
        <w:t xml:space="preserve">Fit</w:t>
      </w:r>
      <w:r>
        <w:t xml:space="preserve"> </w:t>
      </w:r>
      <w:r>
        <w:t xml:space="preserve">Index</w:t>
      </w:r>
      <w:r>
        <w:t xml:space="preserve"> </w:t>
      </w:r>
      <w:r>
        <w:t xml:space="preserve">Cutoffs</w:t>
      </w:r>
      <w:r>
        <w:t xml:space="preserve"> </w:t>
      </w:r>
      <w:r>
        <w:t xml:space="preserve">for</w:t>
      </w:r>
      <w:r>
        <w:t xml:space="preserve"> </w:t>
      </w:r>
      <w:r>
        <w:t xml:space="preserve">Arbitrary</w:t>
      </w:r>
      <w:r>
        <w:t xml:space="preserve"> </w:t>
      </w:r>
      <w:r>
        <w:t xml:space="preserve">Covariance</w:t>
      </w:r>
      <w:r>
        <w:t xml:space="preserve"> </w:t>
      </w:r>
      <w:r>
        <w:t xml:space="preserve">Structure</w:t>
      </w:r>
      <w:r>
        <w:t xml:space="preserve"> </w:t>
      </w:r>
      <w:r>
        <w:t xml:space="preserve">Models</w:t>
      </w:r>
      <w:r>
        <w:t xml:space="preserve">.</w:t>
      </w:r>
      <w:r>
        <w:t xml:space="preserve"> </w:t>
      </w:r>
      <w:r>
        <w:rPr>
          <w:i/>
          <w:iCs/>
        </w:rPr>
        <w:t xml:space="preserve">Structural Equation Modeling: A Multidisciplinary Journal</w:t>
      </w:r>
      <w:r>
        <w:t xml:space="preserve">,</w:t>
      </w:r>
      <w:r>
        <w:t xml:space="preserve"> </w:t>
      </w:r>
      <w:r>
        <w:rPr>
          <w:i/>
          <w:iCs/>
        </w:rPr>
        <w:t xml:space="preserve">31</w:t>
      </w:r>
      <w:r>
        <w:t xml:space="preserve">(5), 835–862.</w:t>
      </w:r>
      <w:r>
        <w:t xml:space="preserve"> </w:t>
      </w:r>
      <w:hyperlink r:id="rId199">
        <w:r>
          <w:rPr>
            <w:rStyle w:val="Hyperlink"/>
          </w:rPr>
          <w:t xml:space="preserve">https://doi.org/10.1080/10705511.2024.2308005</w:t>
        </w:r>
      </w:hyperlink>
    </w:p>
    <w:bookmarkEnd w:id="200"/>
    <w:bookmarkStart w:id="202" w:name="ref-mueller_iarm_2022"/>
    <w:p>
      <w:pPr>
        <w:pStyle w:val="Bibliography"/>
      </w:pPr>
      <w:r>
        <w:t xml:space="preserve">Mueller, M., &amp; Santiago, P. H. R. (2022).</w:t>
      </w:r>
      <w:r>
        <w:t xml:space="preserve"> </w:t>
      </w:r>
      <w:r>
        <w:rPr>
          <w:i/>
          <w:iCs/>
        </w:rPr>
        <w:t xml:space="preserve">Iarm:</w:t>
      </w:r>
      <w:r>
        <w:rPr>
          <w:i/>
          <w:iCs/>
        </w:rPr>
        <w:t xml:space="preserve"> </w:t>
      </w:r>
      <w:r>
        <w:rPr>
          <w:i/>
          <w:iCs/>
        </w:rPr>
        <w:t xml:space="preserve">Item</w:t>
      </w:r>
      <w:r>
        <w:rPr>
          <w:i/>
          <w:iCs/>
        </w:rPr>
        <w:t xml:space="preserve"> </w:t>
      </w:r>
      <w:r>
        <w:rPr>
          <w:i/>
          <w:iCs/>
        </w:rPr>
        <w:t xml:space="preserve">Analysis</w:t>
      </w:r>
      <w:r>
        <w:rPr>
          <w:i/>
          <w:iCs/>
        </w:rPr>
        <w:t xml:space="preserve"> </w:t>
      </w:r>
      <w:r>
        <w:rPr>
          <w:i/>
          <w:iCs/>
        </w:rPr>
        <w:t xml:space="preserve">in</w:t>
      </w:r>
      <w:r>
        <w:rPr>
          <w:i/>
          <w:iCs/>
        </w:rPr>
        <w:t xml:space="preserve"> </w:t>
      </w:r>
      <w:r>
        <w:rPr>
          <w:i/>
          <w:iCs/>
        </w:rPr>
        <w:t xml:space="preserve">Rasch</w:t>
      </w:r>
      <w:r>
        <w:rPr>
          <w:i/>
          <w:iCs/>
        </w:rPr>
        <w:t xml:space="preserve"> </w:t>
      </w:r>
      <w:r>
        <w:rPr>
          <w:i/>
          <w:iCs/>
        </w:rPr>
        <w:t xml:space="preserve">Models</w:t>
      </w:r>
      <w:r>
        <w:t xml:space="preserve">.</w:t>
      </w:r>
      <w:r>
        <w:t xml:space="preserve"> </w:t>
      </w:r>
      <w:hyperlink r:id="rId201">
        <w:r>
          <w:rPr>
            <w:rStyle w:val="Hyperlink"/>
          </w:rPr>
          <w:t xml:space="preserve">https://cran.r-project.org/web/packages/iarm/index.html</w:t>
        </w:r>
      </w:hyperlink>
    </w:p>
    <w:bookmarkEnd w:id="202"/>
    <w:bookmarkStart w:id="204" w:name="ref-muller_item_2020"/>
    <w:p>
      <w:pPr>
        <w:pStyle w:val="Bibliography"/>
      </w:pPr>
      <w:r>
        <w:t xml:space="preserve">Müller, M. (2020). Item fit statistics for</w:t>
      </w:r>
      <w:r>
        <w:t xml:space="preserve"> </w:t>
      </w:r>
      <w:r>
        <w:t xml:space="preserve">Rasch</w:t>
      </w:r>
      <w:r>
        <w:t xml:space="preserve"> </w:t>
      </w:r>
      <w:r>
        <w:t xml:space="preserve">analysis: Can we trust them?</w:t>
      </w:r>
      <w:r>
        <w:t xml:space="preserve"> </w:t>
      </w:r>
      <w:r>
        <w:rPr>
          <w:i/>
          <w:iCs/>
        </w:rPr>
        <w:t xml:space="preserve">Journal of Statistical Distributions and Applications</w:t>
      </w:r>
      <w:r>
        <w:t xml:space="preserve">,</w:t>
      </w:r>
      <w:r>
        <w:t xml:space="preserve"> </w:t>
      </w:r>
      <w:r>
        <w:rPr>
          <w:i/>
          <w:iCs/>
        </w:rPr>
        <w:t xml:space="preserve">7</w:t>
      </w:r>
      <w:r>
        <w:t xml:space="preserve">(1), 5.</w:t>
      </w:r>
      <w:r>
        <w:t xml:space="preserve"> </w:t>
      </w:r>
      <w:hyperlink r:id="rId203">
        <w:r>
          <w:rPr>
            <w:rStyle w:val="Hyperlink"/>
          </w:rPr>
          <w:t xml:space="preserve">https://doi.org/10.1186/s40488-020-00108-7</w:t>
        </w:r>
      </w:hyperlink>
    </w:p>
    <w:bookmarkEnd w:id="204"/>
    <w:bookmarkStart w:id="206" w:name="ref-ostini_polytomous_2006"/>
    <w:p>
      <w:pPr>
        <w:pStyle w:val="Bibliography"/>
      </w:pPr>
      <w:r>
        <w:t xml:space="preserve">Ostini, R., &amp; Nering, M. (2006).</w:t>
      </w:r>
      <w:r>
        <w:t xml:space="preserve"> </w:t>
      </w:r>
      <w:r>
        <w:rPr>
          <w:i/>
          <w:iCs/>
        </w:rPr>
        <w:t xml:space="preserve">Polytomous</w:t>
      </w:r>
      <w:r>
        <w:rPr>
          <w:i/>
          <w:iCs/>
        </w:rPr>
        <w:t xml:space="preserve"> </w:t>
      </w:r>
      <w:r>
        <w:rPr>
          <w:i/>
          <w:iCs/>
        </w:rPr>
        <w:t xml:space="preserve">Item</w:t>
      </w:r>
      <w:r>
        <w:rPr>
          <w:i/>
          <w:iCs/>
        </w:rPr>
        <w:t xml:space="preserve"> </w:t>
      </w:r>
      <w:r>
        <w:rPr>
          <w:i/>
          <w:iCs/>
        </w:rPr>
        <w:t xml:space="preserve">Response</w:t>
      </w:r>
      <w:r>
        <w:rPr>
          <w:i/>
          <w:iCs/>
        </w:rPr>
        <w:t xml:space="preserve"> </w:t>
      </w:r>
      <w:r>
        <w:rPr>
          <w:i/>
          <w:iCs/>
        </w:rPr>
        <w:t xml:space="preserve">Theory</w:t>
      </w:r>
      <w:r>
        <w:rPr>
          <w:i/>
          <w:iCs/>
        </w:rPr>
        <w:t xml:space="preserve"> </w:t>
      </w:r>
      <w:r>
        <w:rPr>
          <w:i/>
          <w:iCs/>
        </w:rPr>
        <w:t xml:space="preserve">Models</w:t>
      </w:r>
      <w:r>
        <w:t xml:space="preserve">. SAGE Publications, Inc.</w:t>
      </w:r>
      <w:r>
        <w:t xml:space="preserve"> </w:t>
      </w:r>
      <w:hyperlink r:id="rId205">
        <w:r>
          <w:rPr>
            <w:rStyle w:val="Hyperlink"/>
          </w:rPr>
          <w:t xml:space="preserve">https://doi.org/10.4135/9781412985413</w:t>
        </w:r>
      </w:hyperlink>
    </w:p>
    <w:bookmarkEnd w:id="206"/>
    <w:bookmarkStart w:id="208" w:name="ref-smith_detecting_2002"/>
    <w:p>
      <w:pPr>
        <w:pStyle w:val="Bibliography"/>
      </w:pPr>
      <w:r>
        <w:t xml:space="preserve">Smith, E. V. (2002).</w:t>
      </w:r>
      <w:r>
        <w:t xml:space="preserve"> </w:t>
      </w:r>
      <w:hyperlink r:id="rId207">
        <w:r>
          <w:rPr>
            <w:rStyle w:val="Hyperlink"/>
          </w:rPr>
          <w:t xml:space="preserve">Detecting and evaluating the impact of multidimensionality using item fit statistics and principal component analysis of residuals</w:t>
        </w:r>
      </w:hyperlink>
      <w:r>
        <w:t xml:space="preserve">.</w:t>
      </w:r>
      <w:r>
        <w:t xml:space="preserve"> </w:t>
      </w:r>
      <w:r>
        <w:rPr>
          <w:i/>
          <w:iCs/>
        </w:rPr>
        <w:t xml:space="preserve">Journal of Applied Measurement</w:t>
      </w:r>
      <w:r>
        <w:t xml:space="preserve">,</w:t>
      </w:r>
      <w:r>
        <w:t xml:space="preserve"> </w:t>
      </w:r>
      <w:r>
        <w:rPr>
          <w:i/>
          <w:iCs/>
        </w:rPr>
        <w:t xml:space="preserve">3</w:t>
      </w:r>
      <w:r>
        <w:t xml:space="preserve">(2), 205–231.</w:t>
      </w:r>
    </w:p>
    <w:bookmarkEnd w:id="208"/>
    <w:bookmarkStart w:id="210" w:name="ref-smith_using_1998"/>
    <w:p>
      <w:pPr>
        <w:pStyle w:val="Bibliography"/>
      </w:pPr>
      <w:r>
        <w:t xml:space="preserve">Smith, R. M., Schumacker, R. E., &amp; Bush, M. J. (1998).</w:t>
      </w:r>
      <w:r>
        <w:t xml:space="preserve"> </w:t>
      </w:r>
      <w:hyperlink r:id="rId209">
        <w:r>
          <w:rPr>
            <w:rStyle w:val="Hyperlink"/>
          </w:rPr>
          <w:t xml:space="preserve">Using item mean squares to evaluate fit to the</w:t>
        </w:r>
        <w:r>
          <w:rPr>
            <w:rStyle w:val="Hyperlink"/>
          </w:rPr>
          <w:t xml:space="preserve"> </w:t>
        </w:r>
        <w:r>
          <w:rPr>
            <w:rStyle w:val="Hyperlink"/>
          </w:rPr>
          <w:t xml:space="preserve">Rasch</w:t>
        </w:r>
        <w:r>
          <w:rPr>
            <w:rStyle w:val="Hyperlink"/>
          </w:rPr>
          <w:t xml:space="preserve"> </w:t>
        </w:r>
        <w:r>
          <w:rPr>
            <w:rStyle w:val="Hyperlink"/>
          </w:rPr>
          <w:t xml:space="preserve">model</w:t>
        </w:r>
      </w:hyperlink>
      <w:r>
        <w:t xml:space="preserve">.</w:t>
      </w:r>
      <w:r>
        <w:t xml:space="preserve"> </w:t>
      </w:r>
      <w:r>
        <w:rPr>
          <w:i/>
          <w:iCs/>
        </w:rPr>
        <w:t xml:space="preserve">Journal of Outcome Measurement</w:t>
      </w:r>
      <w:r>
        <w:t xml:space="preserve">,</w:t>
      </w:r>
      <w:r>
        <w:t xml:space="preserve"> </w:t>
      </w:r>
      <w:r>
        <w:rPr>
          <w:i/>
          <w:iCs/>
        </w:rPr>
        <w:t xml:space="preserve">2</w:t>
      </w:r>
      <w:r>
        <w:t xml:space="preserve">(1), 66–78.</w:t>
      </w:r>
    </w:p>
    <w:bookmarkEnd w:id="210"/>
    <w:bookmarkStart w:id="212" w:name="ref-warm_weighted_1989"/>
    <w:p>
      <w:pPr>
        <w:pStyle w:val="Bibliography"/>
      </w:pPr>
      <w:r>
        <w:t xml:space="preserve">Warm, T. A. (1989). Weighted likelihood estimation of ability in item response theory.</w:t>
      </w:r>
      <w:r>
        <w:t xml:space="preserve"> </w:t>
      </w:r>
      <w:r>
        <w:rPr>
          <w:i/>
          <w:iCs/>
        </w:rPr>
        <w:t xml:space="preserve">Psychometrika</w:t>
      </w:r>
      <w:r>
        <w:t xml:space="preserve">,</w:t>
      </w:r>
      <w:r>
        <w:t xml:space="preserve"> </w:t>
      </w:r>
      <w:r>
        <w:rPr>
          <w:i/>
          <w:iCs/>
        </w:rPr>
        <w:t xml:space="preserve">54</w:t>
      </w:r>
      <w:r>
        <w:t xml:space="preserve">(3), 427–450.</w:t>
      </w:r>
      <w:r>
        <w:t xml:space="preserve"> </w:t>
      </w:r>
      <w:hyperlink r:id="rId211">
        <w:r>
          <w:rPr>
            <w:rStyle w:val="Hyperlink"/>
          </w:rPr>
          <w:t xml:space="preserve">https://doi.org/10.1007/BF02294627</w:t>
        </w:r>
      </w:hyperlink>
    </w:p>
    <w:bookmarkEnd w:id="212"/>
    <w:bookmarkEnd w:id="213"/>
    <w:bookmarkEnd w:id="214"/>
    <w:bookmarkStart w:id="218" w:name="sec-addmat"/>
    <w:p>
      <w:pPr>
        <w:pStyle w:val="Heading1"/>
      </w:pPr>
      <w:r>
        <w:t xml:space="preserve">Additional materials</w:t>
      </w:r>
    </w:p>
    <w:p>
      <w:pPr>
        <w:pStyle w:val="Compact"/>
        <w:numPr>
          <w:ilvl w:val="0"/>
          <w:numId w:val="1004"/>
        </w:numPr>
      </w:pPr>
      <w:r>
        <w:t xml:space="preserve">GitHub link for</w:t>
      </w:r>
      <w:r>
        <w:t xml:space="preserve"> </w:t>
      </w:r>
      <w:r>
        <w:rPr>
          <w:rStyle w:val="VerbatimChar"/>
        </w:rPr>
        <w:t xml:space="preserve">easyRasch</w:t>
      </w:r>
      <w:r>
        <w:t xml:space="preserve"> </w:t>
      </w:r>
      <w:r>
        <w:t xml:space="preserve">source code:</w:t>
      </w:r>
      <w:r>
        <w:t xml:space="preserve"> </w:t>
      </w:r>
      <w:hyperlink r:id="rId215">
        <w:r>
          <w:rPr>
            <w:rStyle w:val="Hyperlink"/>
          </w:rPr>
          <w:t xml:space="preserve">https://github.com/pgmj/easyRasch/</w:t>
        </w:r>
      </w:hyperlink>
    </w:p>
    <w:p>
      <w:pPr>
        <w:pStyle w:val="Compact"/>
        <w:numPr>
          <w:ilvl w:val="1"/>
          <w:numId w:val="1005"/>
        </w:numPr>
      </w:pPr>
      <w:r>
        <w:t xml:space="preserve">Most functions are defined in this file:</w:t>
      </w:r>
      <w:r>
        <w:t xml:space="preserve"> </w:t>
      </w:r>
      <w:hyperlink r:id="rId216">
        <w:r>
          <w:rPr>
            <w:rStyle w:val="Hyperlink"/>
          </w:rPr>
          <w:t xml:space="preserve">https://github.com/pgmj/easyRasch/blob/main/R/easyRasch.R</w:t>
        </w:r>
      </w:hyperlink>
    </w:p>
    <w:bookmarkStart w:id="217" w:name="session-info"/>
    <w:p>
      <w:pPr>
        <w:pStyle w:val="Heading2"/>
      </w:pPr>
      <w:r>
        <w:t xml:space="preserve">Session info</w:t>
      </w:r>
    </w:p>
    <w:p>
      <w:pPr>
        <w:pStyle w:val="FirstParagraph"/>
      </w:pPr>
      <w:r>
        <w:t xml:space="preserve">This documents the specific R packages and versions used in this study. Note that the simulations were conducted using</w:t>
      </w:r>
      <w:r>
        <w:t xml:space="preserve"> </w:t>
      </w:r>
      <w:r>
        <w:rPr>
          <w:rStyle w:val="VerbatimChar"/>
        </w:rPr>
        <w:t xml:space="preserve">easyRasch</w:t>
      </w:r>
      <w:r>
        <w:t xml:space="preserve"> </w:t>
      </w:r>
      <w:r>
        <w:t xml:space="preserve">version 0.3.3, while the plots and tables generated directly from</w:t>
      </w:r>
      <w:r>
        <w:t xml:space="preserve"> </w:t>
      </w:r>
      <w:r>
        <w:rPr>
          <w:rStyle w:val="VerbatimChar"/>
        </w:rPr>
        <w:t xml:space="preserve">easyRasch</w:t>
      </w:r>
      <w:r>
        <w:t xml:space="preserve"> </w:t>
      </w:r>
      <w:r>
        <w:t xml:space="preserve">were done using version 0.3.3.2.</w:t>
      </w:r>
    </w:p>
    <w:p>
      <w:pPr>
        <w:pStyle w:val="SourceCode"/>
      </w:pPr>
      <w:r>
        <w:rPr>
          <w:rStyle w:val="VerbatimChar"/>
        </w:rPr>
        <w:t xml:space="preserve">R version 4.4.2 (2024-10-31)</w:t>
      </w:r>
      <w:r>
        <w:br/>
      </w:r>
      <w:r>
        <w:rPr>
          <w:rStyle w:val="VerbatimChar"/>
        </w:rPr>
        <w:t xml:space="preserve">Platform: aarch64-apple-darwin20</w:t>
      </w:r>
      <w:r>
        <w:br/>
      </w:r>
      <w:r>
        <w:rPr>
          <w:rStyle w:val="VerbatimChar"/>
        </w:rPr>
        <w:t xml:space="preserve">Running under: macOS Sequoia 15.2</w:t>
      </w:r>
      <w:r>
        <w:br/>
      </w:r>
      <w:r>
        <w:br/>
      </w:r>
      <w:r>
        <w:rPr>
          <w:rStyle w:val="VerbatimChar"/>
        </w:rPr>
        <w:t xml:space="preserve">Matrix products: default</w:t>
      </w:r>
      <w:r>
        <w:br/>
      </w:r>
      <w:r>
        <w:rPr>
          <w:rStyle w:val="VerbatimChar"/>
        </w:rPr>
        <w:t xml:space="preserve">BLAS:   /Library/Frameworks/R.framework/Versions/4.4-arm64/Resources/lib/libRblas.0.dylib </w:t>
      </w:r>
      <w:r>
        <w:br/>
      </w:r>
      <w:r>
        <w:rPr>
          <w:rStyle w:val="VerbatimChar"/>
        </w:rPr>
        <w:t xml:space="preserve">LAPACK: /Library/Frameworks/R.framework/Versions/4.4-arm64/Resources/lib/libRlapack.dylib;  LAPACK version 3.12.0</w:t>
      </w:r>
      <w:r>
        <w:br/>
      </w:r>
      <w:r>
        <w:br/>
      </w:r>
      <w:r>
        <w:rPr>
          <w:rStyle w:val="VerbatimChar"/>
        </w:rPr>
        <w:t xml:space="preserve">locale:</w:t>
      </w:r>
      <w:r>
        <w:br/>
      </w:r>
      <w:r>
        <w:rPr>
          <w:rStyle w:val="VerbatimChar"/>
        </w:rPr>
        <w:t xml:space="preserve">[1] en_US.UTF-8/en_US.UTF-8/en_US.UTF-8/C/en_US.UTF-8/en_US.UTF-8</w:t>
      </w:r>
      <w:r>
        <w:br/>
      </w:r>
      <w:r>
        <w:br/>
      </w:r>
      <w:r>
        <w:rPr>
          <w:rStyle w:val="VerbatimChar"/>
        </w:rPr>
        <w:t xml:space="preserve">time zone: Europe/Stockholm</w:t>
      </w:r>
      <w:r>
        <w:br/>
      </w:r>
      <w:r>
        <w:rPr>
          <w:rStyle w:val="VerbatimChar"/>
        </w:rPr>
        <w:t xml:space="preserve">tzcode source: internal</w:t>
      </w:r>
      <w:r>
        <w:br/>
      </w:r>
      <w:r>
        <w:br/>
      </w:r>
      <w:r>
        <w:rPr>
          <w:rStyle w:val="VerbatimChar"/>
        </w:rPr>
        <w:t xml:space="preserve">attached base packages:</w:t>
      </w:r>
      <w:r>
        <w:br/>
      </w:r>
      <w:r>
        <w:rPr>
          <w:rStyle w:val="VerbatimChar"/>
        </w:rPr>
        <w:t xml:space="preserve"> [1] parallel  grid      stats4    stats     graphics  grDevices utils    </w:t>
      </w:r>
      <w:r>
        <w:br/>
      </w:r>
      <w:r>
        <w:rPr>
          <w:rStyle w:val="VerbatimChar"/>
        </w:rPr>
        <w:t xml:space="preserve"> [8] datasets  methods   base     </w:t>
      </w:r>
      <w:r>
        <w:br/>
      </w:r>
      <w:r>
        <w:br/>
      </w:r>
      <w:r>
        <w:rPr>
          <w:rStyle w:val="VerbatimChar"/>
        </w:rPr>
        <w:t xml:space="preserve">other attached packages:</w:t>
      </w:r>
      <w:r>
        <w:br/>
      </w:r>
      <w:r>
        <w:rPr>
          <w:rStyle w:val="VerbatimChar"/>
        </w:rPr>
        <w:t xml:space="preserve"> [1] showtext_0.9-7    showtextdb_3.0    sysfonts_0.8.9    arrow_16.1.0     </w:t>
      </w:r>
      <w:r>
        <w:br/>
      </w:r>
      <w:r>
        <w:rPr>
          <w:rStyle w:val="VerbatimChar"/>
        </w:rPr>
        <w:t xml:space="preserve"> [5] easyRasch_0.3.3.2 doParallel_1.0.17 iterators_1.0.14  furrr_0.3.1      </w:t>
      </w:r>
      <w:r>
        <w:br/>
      </w:r>
      <w:r>
        <w:rPr>
          <w:rStyle w:val="VerbatimChar"/>
        </w:rPr>
        <w:t xml:space="preserve"> [9] future_1.34.0     foreach_1.5.2     janitor_2.2.0     hexbin_1.28.4    </w:t>
      </w:r>
      <w:r>
        <w:br/>
      </w:r>
      <w:r>
        <w:rPr>
          <w:rStyle w:val="VerbatimChar"/>
        </w:rPr>
        <w:t xml:space="preserve">[13] catR_3.17         glue_1.8.0        ggrepel_0.9.6     patchwork_1.3.0  </w:t>
      </w:r>
      <w:r>
        <w:br/>
      </w:r>
      <w:r>
        <w:rPr>
          <w:rStyle w:val="VerbatimChar"/>
        </w:rPr>
        <w:t xml:space="preserve">[17] reshape_0.8.9     matrixStats_1.4.1 psychotree_0.16-1 psychotools_0.7-4</w:t>
      </w:r>
      <w:r>
        <w:br/>
      </w:r>
      <w:r>
        <w:rPr>
          <w:rStyle w:val="VerbatimChar"/>
        </w:rPr>
        <w:t xml:space="preserve">[21] partykit_1.2-22   mvtnorm_1.3-1     libcoin_1.0-10    psych_2.4.6.26   </w:t>
      </w:r>
      <w:r>
        <w:br/>
      </w:r>
      <w:r>
        <w:rPr>
          <w:rStyle w:val="VerbatimChar"/>
        </w:rPr>
        <w:t xml:space="preserve">[25] mirt_1.43         lattice_0.22-6    kableExtra_1.4.0  formattable_0.2.1</w:t>
      </w:r>
      <w:r>
        <w:br/>
      </w:r>
      <w:r>
        <w:rPr>
          <w:rStyle w:val="VerbatimChar"/>
        </w:rPr>
        <w:t xml:space="preserve">[29] lubridate_1.9.3   forcats_1.0.0     stringr_1.5.1     dplyr_1.1.4      </w:t>
      </w:r>
      <w:r>
        <w:br/>
      </w:r>
      <w:r>
        <w:rPr>
          <w:rStyle w:val="VerbatimChar"/>
        </w:rPr>
        <w:t xml:space="preserve">[33] purrr_1.0.2       readr_2.1.5       tidyr_1.3.1       tibble_3.2.1     </w:t>
      </w:r>
      <w:r>
        <w:br/>
      </w:r>
      <w:r>
        <w:rPr>
          <w:rStyle w:val="VerbatimChar"/>
        </w:rPr>
        <w:t xml:space="preserve">[37] tidyverse_2.0.0   ggdist_3.3.2      iarm_0.4.3        ggplot2_3.5.1    </w:t>
      </w:r>
      <w:r>
        <w:br/>
      </w:r>
      <w:r>
        <w:rPr>
          <w:rStyle w:val="VerbatimChar"/>
        </w:rPr>
        <w:t xml:space="preserve">[41] eRm_1.0-6        </w:t>
      </w:r>
      <w:r>
        <w:br/>
      </w:r>
      <w:r>
        <w:br/>
      </w:r>
      <w:r>
        <w:rPr>
          <w:rStyle w:val="VerbatimChar"/>
        </w:rPr>
        <w:t xml:space="preserve">loaded via a namespace (and not attached):</w:t>
      </w:r>
      <w:r>
        <w:br/>
      </w:r>
      <w:r>
        <w:rPr>
          <w:rStyle w:val="VerbatimChar"/>
        </w:rPr>
        <w:t xml:space="preserve">  [1] splines_4.4.2        R.oo_1.26.0          cellranger_1.1.0    </w:t>
      </w:r>
      <w:r>
        <w:br/>
      </w:r>
      <w:r>
        <w:rPr>
          <w:rStyle w:val="VerbatimChar"/>
        </w:rPr>
        <w:t xml:space="preserve">  [4] rpart_4.1.23         lifecycle_1.0.4      rprojroot_2.0.4     </w:t>
      </w:r>
      <w:r>
        <w:br/>
      </w:r>
      <w:r>
        <w:rPr>
          <w:rStyle w:val="VerbatimChar"/>
        </w:rPr>
        <w:t xml:space="preserve">  [7] globals_0.16.3       vroom_1.6.5          MASS_7.3-61         </w:t>
      </w:r>
      <w:r>
        <w:br/>
      </w:r>
      <w:r>
        <w:rPr>
          <w:rStyle w:val="VerbatimChar"/>
        </w:rPr>
        <w:t xml:space="preserve"> [10] backports_1.5.0      magrittr_2.0.3       vcd_1.4-12          </w:t>
      </w:r>
      <w:r>
        <w:br/>
      </w:r>
      <w:r>
        <w:rPr>
          <w:rStyle w:val="VerbatimChar"/>
        </w:rPr>
        <w:t xml:space="preserve"> [13] Hmisc_5.2-0          rmarkdown_2.28       yaml_2.3.10         </w:t>
      </w:r>
      <w:r>
        <w:br/>
      </w:r>
      <w:r>
        <w:rPr>
          <w:rStyle w:val="VerbatimChar"/>
        </w:rPr>
        <w:t xml:space="preserve"> [16] sessioninfo_1.2.2    pbapply_1.7-2        RColorBrewer_1.1-3  </w:t>
      </w:r>
      <w:r>
        <w:br/>
      </w:r>
      <w:r>
        <w:rPr>
          <w:rStyle w:val="VerbatimChar"/>
        </w:rPr>
        <w:t xml:space="preserve"> [19] audio_0.1-11         quadprog_1.5-8       R.utils_2.12.3      </w:t>
      </w:r>
      <w:r>
        <w:br/>
      </w:r>
      <w:r>
        <w:rPr>
          <w:rStyle w:val="VerbatimChar"/>
        </w:rPr>
        <w:t xml:space="preserve"> [22] nnet_7.3-19          listenv_0.9.1        testthat_3.2.1.1    </w:t>
      </w:r>
      <w:r>
        <w:br/>
      </w:r>
      <w:r>
        <w:rPr>
          <w:rStyle w:val="VerbatimChar"/>
        </w:rPr>
        <w:t xml:space="preserve"> [25] RPushbullet_0.3.4    vegan_2.6-8          parallelly_1.38.0   </w:t>
      </w:r>
      <w:r>
        <w:br/>
      </w:r>
      <w:r>
        <w:rPr>
          <w:rStyle w:val="VerbatimChar"/>
        </w:rPr>
        <w:t xml:space="preserve"> [28] svglite_2.1.3        permute_0.9-7        codetools_0.2-20    </w:t>
      </w:r>
      <w:r>
        <w:br/>
      </w:r>
      <w:r>
        <w:rPr>
          <w:rStyle w:val="VerbatimChar"/>
        </w:rPr>
        <w:t xml:space="preserve"> [31] xml2_1.3.6           tidyselect_1.2.1     farver_2.1.2        </w:t>
      </w:r>
      <w:r>
        <w:br/>
      </w:r>
      <w:r>
        <w:rPr>
          <w:rStyle w:val="VerbatimChar"/>
        </w:rPr>
        <w:t xml:space="preserve"> [34] base64enc_0.1-3      jsonlite_1.8.9       progressr_0.14.0    </w:t>
      </w:r>
      <w:r>
        <w:br/>
      </w:r>
      <w:r>
        <w:rPr>
          <w:rStyle w:val="VerbatimChar"/>
        </w:rPr>
        <w:t xml:space="preserve"> [37] Formula_1.2-5        survival_3.7-0       systemfonts_1.1.0   </w:t>
      </w:r>
      <w:r>
        <w:br/>
      </w:r>
      <w:r>
        <w:rPr>
          <w:rStyle w:val="VerbatimChar"/>
        </w:rPr>
        <w:t xml:space="preserve"> [40] tools_4.4.2          gnm_1.1-5            snow_0.4-4          </w:t>
      </w:r>
      <w:r>
        <w:br/>
      </w:r>
      <w:r>
        <w:rPr>
          <w:rStyle w:val="VerbatimChar"/>
        </w:rPr>
        <w:t xml:space="preserve"> [43] Rcpp_1.0.13-1        mnormt_2.1.1         gridExtra_2.3       </w:t>
      </w:r>
      <w:r>
        <w:br/>
      </w:r>
      <w:r>
        <w:rPr>
          <w:rStyle w:val="VerbatimChar"/>
        </w:rPr>
        <w:t xml:space="preserve"> [46] xfun_0.46            here_1.0.1           mgcv_1.9-1          </w:t>
      </w:r>
      <w:r>
        <w:br/>
      </w:r>
      <w:r>
        <w:rPr>
          <w:rStyle w:val="VerbatimChar"/>
        </w:rPr>
        <w:t xml:space="preserve"> [49] distributional_0.4.0 ca_0.71.1            withr_3.0.2         </w:t>
      </w:r>
      <w:r>
        <w:br/>
      </w:r>
      <w:r>
        <w:rPr>
          <w:rStyle w:val="VerbatimChar"/>
        </w:rPr>
        <w:t xml:space="preserve"> [52] beepr_2.0            fastmap_1.2.0        fansi_1.0.6         </w:t>
      </w:r>
      <w:r>
        <w:br/>
      </w:r>
      <w:r>
        <w:rPr>
          <w:rStyle w:val="VerbatimChar"/>
        </w:rPr>
        <w:t xml:space="preserve"> [55] digest_0.6.37        timechange_0.3.0     R6_2.5.1            </w:t>
      </w:r>
      <w:r>
        <w:br/>
      </w:r>
      <w:r>
        <w:rPr>
          <w:rStyle w:val="VerbatimChar"/>
        </w:rPr>
        <w:t xml:space="preserve"> [58] colorspace_2.1-1     R.methodsS3_1.8.2    inum_1.0-5          </w:t>
      </w:r>
      <w:r>
        <w:br/>
      </w:r>
      <w:r>
        <w:rPr>
          <w:rStyle w:val="VerbatimChar"/>
        </w:rPr>
        <w:t xml:space="preserve"> [61] utf8_1.2.4           generics_0.1.3       data.table_1.16.0   </w:t>
      </w:r>
      <w:r>
        <w:br/>
      </w:r>
      <w:r>
        <w:rPr>
          <w:rStyle w:val="VerbatimChar"/>
        </w:rPr>
        <w:t xml:space="preserve"> [64] SimDesign_2.17.1     htmlwidgets_1.6.4    pkgconfig_2.0.3     </w:t>
      </w:r>
      <w:r>
        <w:br/>
      </w:r>
      <w:r>
        <w:rPr>
          <w:rStyle w:val="VerbatimChar"/>
        </w:rPr>
        <w:t xml:space="preserve"> [67] gtable_0.3.5         lmtest_0.9-40        brio_1.1.5          </w:t>
      </w:r>
      <w:r>
        <w:br/>
      </w:r>
      <w:r>
        <w:rPr>
          <w:rStyle w:val="VerbatimChar"/>
        </w:rPr>
        <w:t xml:space="preserve"> [70] htmltools_0.5.8.1    scales_1.3.0         snakecase_0.11.1    </w:t>
      </w:r>
      <w:r>
        <w:br/>
      </w:r>
      <w:r>
        <w:rPr>
          <w:rStyle w:val="VerbatimChar"/>
        </w:rPr>
        <w:t xml:space="preserve"> [73] knitr_1.48           rstudioapi_0.17.1    tzdb_0.4.0          </w:t>
      </w:r>
      <w:r>
        <w:br/>
      </w:r>
      <w:r>
        <w:rPr>
          <w:rStyle w:val="VerbatimChar"/>
        </w:rPr>
        <w:t xml:space="preserve"> [76] checkmate_2.3.2      nlme_3.1-166         curl_6.0.1          </w:t>
      </w:r>
      <w:r>
        <w:br/>
      </w:r>
      <w:r>
        <w:rPr>
          <w:rStyle w:val="VerbatimChar"/>
        </w:rPr>
        <w:t xml:space="preserve"> [79] zoo_1.8-12           relimp_1.0-5         vcdExtra_0.8-5      </w:t>
      </w:r>
      <w:r>
        <w:br/>
      </w:r>
      <w:r>
        <w:rPr>
          <w:rStyle w:val="VerbatimChar"/>
        </w:rPr>
        <w:t xml:space="preserve"> [82] foreign_0.8-87       pillar_1.9.0         vctrs_0.6.5         </w:t>
      </w:r>
      <w:r>
        <w:br/>
      </w:r>
      <w:r>
        <w:rPr>
          <w:rStyle w:val="VerbatimChar"/>
        </w:rPr>
        <w:t xml:space="preserve"> [85] Deriv_4.1.3          cluster_2.1.6        dcurver_0.9.2       </w:t>
      </w:r>
      <w:r>
        <w:br/>
      </w:r>
      <w:r>
        <w:rPr>
          <w:rStyle w:val="VerbatimChar"/>
        </w:rPr>
        <w:t xml:space="preserve"> [88] archive_1.1.8        GPArotation_2024.3-1 htmlTable_2.4.3     </w:t>
      </w:r>
      <w:r>
        <w:br/>
      </w:r>
      <w:r>
        <w:rPr>
          <w:rStyle w:val="VerbatimChar"/>
        </w:rPr>
        <w:t xml:space="preserve"> [91] evaluate_1.0.1       cli_3.6.3            compiler_4.4.2      </w:t>
      </w:r>
      <w:r>
        <w:br/>
      </w:r>
      <w:r>
        <w:rPr>
          <w:rStyle w:val="VerbatimChar"/>
        </w:rPr>
        <w:t xml:space="preserve"> [94] rlang_1.1.4          crayon_1.5.3         future.apply_1.11.2 </w:t>
      </w:r>
      <w:r>
        <w:br/>
      </w:r>
      <w:r>
        <w:rPr>
          <w:rStyle w:val="VerbatimChar"/>
        </w:rPr>
        <w:t xml:space="preserve"> [97] labeling_0.4.3       plyr_1.8.9           stringi_1.8.4       </w:t>
      </w:r>
      <w:r>
        <w:br/>
      </w:r>
      <w:r>
        <w:rPr>
          <w:rStyle w:val="VerbatimChar"/>
        </w:rPr>
        <w:t xml:space="preserve">[100] viridisLite_0.4.2    assertthat_0.2.1     munsell_0.5.1       </w:t>
      </w:r>
      <w:r>
        <w:br/>
      </w:r>
      <w:r>
        <w:rPr>
          <w:rStyle w:val="VerbatimChar"/>
        </w:rPr>
        <w:t xml:space="preserve">[103] Matrix_1.7-1         qvcalc_1.0.3         hms_1.1.3           </w:t>
      </w:r>
      <w:r>
        <w:br/>
      </w:r>
      <w:r>
        <w:rPr>
          <w:rStyle w:val="VerbatimChar"/>
        </w:rPr>
        <w:t xml:space="preserve">[106] bit64_4.0.5          bit_4.0.5            readxl_1.4.3        </w:t>
      </w:r>
    </w:p>
    <w:bookmarkEnd w:id="217"/>
    <w:bookmarkEnd w:id="218"/>
    <w:sectPr w:rsidR="007868AB" w:rsidRPr="00CE01EB">
      <w:headerReference r:id="rId9" w:type="default"/>
      <w:pgSz w:h="15840" w:w="12240"/>
      <w:pgMar w:bottom="1440" w:footer="720" w:gutter="0" w:header="720" w:left="1440" w:right="1440" w:top="1440"/>
      <w:cols w:space="720"/>
      <w:type w:val="continuous"/>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A480" w14:textId="505A9CCD" w:rsidR="00340B9E" w:rsidRPr="000D23CF" w:rsidRDefault="00251EDB" w:rsidP="000D23CF">
    <w:pPr>
      <w:tabs>
        <w:tab w:val="right" w:pos="9360"/>
      </w:tabs>
    </w:pPr>
    <w:r>
      <w:t>DETECTING ITEM MISFIT IN RASCH MODELS</w:t>
    </w:r>
    <w:r w:rsidR="000D23CF">
      <w:tab/>
    </w:r>
    <w:r w:rsidR="000D23CF">
      <w:fldChar w:fldCharType="begin"/>
    </w:r>
    <w:r w:rsidR="000D23CF">
      <w:instrText xml:space="preserve"> PAGE   \* MERGEFORMAT </w:instrText>
    </w:r>
    <w:r w:rsidR="000D23CF">
      <w:fldChar w:fldCharType="separate"/>
    </w:r>
    <w:r w:rsidR="000D23CF">
      <w:rPr>
        <w:noProof/>
      </w:rPr>
      <w:t>1</w:t>
    </w:r>
    <w:r w:rsidR="000D23CF">
      <w:rPr>
        <w:noProof/>
      </w:rPr>
      <w:fldChar w:fldCharType="end"/>
    </w:r>
  </w:p>
  <w:p w14:paraId="0B6AFBF4" w14:textId="77777777" w:rsidR="00340B9E" w:rsidRDefault="00340B9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631A5F2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A8C720"/>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0A3E2FD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DC147E6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839682B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128A1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D18C86DE"/>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65E97EA"/>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3550972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38C8C9D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5D1079BE"/>
    <w:multiLevelType w:val="hybridMultilevel"/>
    <w:tmpl w:val="589A61B8"/>
    <w:lvl w:ilvl="0" w:tplc="2A80B848">
      <w:start w:val="1"/>
      <w:numFmt w:val="decimal"/>
      <w:pStyle w:val="APAEnumerated"/>
      <w:lvlText w:val="%1."/>
      <w:lvlJc w:val="left"/>
      <w:pPr>
        <w:ind w:hanging="360" w:left="360"/>
      </w:pPr>
      <w:rPr>
        <w:rFonts w:hint="default"/>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423961382" w:numId="1">
    <w:abstractNumId w:val="10"/>
  </w:num>
  <w:num w16cid:durableId="1687557963" w:numId="2">
    <w:abstractNumId w:val="9"/>
  </w:num>
  <w:num w16cid:durableId="1037200209" w:numId="3">
    <w:abstractNumId w:val="7"/>
  </w:num>
  <w:num w16cid:durableId="1834566650" w:numId="4">
    <w:abstractNumId w:val="6"/>
  </w:num>
  <w:num w16cid:durableId="1713074931" w:numId="5">
    <w:abstractNumId w:val="5"/>
  </w:num>
  <w:num w16cid:durableId="90976974" w:numId="6">
    <w:abstractNumId w:val="4"/>
  </w:num>
  <w:num w16cid:durableId="1378773811" w:numId="7">
    <w:abstractNumId w:val="8"/>
  </w:num>
  <w:num w16cid:durableId="2106684559" w:numId="8">
    <w:abstractNumId w:val="3"/>
  </w:num>
  <w:num w16cid:durableId="1702896435" w:numId="9">
    <w:abstractNumId w:val="2"/>
  </w:num>
  <w:num w16cid:durableId="1542131015" w:numId="10">
    <w:abstractNumId w:val="1"/>
  </w:num>
  <w:num w16cid:durableId="1202327122" w:numId="11">
    <w:abstractNumId w:val="0"/>
  </w:num>
  <w:num w16cid:durableId="1855149352" w:numId="12">
    <w:abstractNumId w:val="9"/>
  </w:num>
  <w:num w16cid:durableId="1364743380" w:numId="13">
    <w:abstractNumId w:val="7"/>
  </w:num>
  <w:num w16cid:durableId="20473214" w:numId="14">
    <w:abstractNumId w:val="6"/>
  </w:num>
  <w:num w16cid:durableId="1905485383" w:numId="15">
    <w:abstractNumId w:val="5"/>
  </w:num>
  <w:num w16cid:durableId="1657997273" w:numId="16">
    <w:abstractNumId w:val="4"/>
  </w:num>
  <w:num w16cid:durableId="1775712193" w:numId="17">
    <w:abstractNumId w:val="8"/>
  </w:num>
  <w:num w16cid:durableId="772827886" w:numId="18">
    <w:abstractNumId w:val="3"/>
  </w:num>
  <w:num w16cid:durableId="1912688915" w:numId="19">
    <w:abstractNumId w:val="2"/>
  </w:num>
  <w:num w16cid:durableId="1611625261" w:numId="20">
    <w:abstractNumId w:val="1"/>
  </w:num>
  <w:num w16cid:durableId="2107966237" w:numId="2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hyphenationZone w:val="36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387689"/>
    <w:pPr>
      <w:spacing w:after="0" w:line="480" w:lineRule="auto"/>
    </w:pPr>
  </w:style>
  <w:style w:styleId="Heading1" w:type="paragraph">
    <w:name w:val="heading 1"/>
    <w:basedOn w:val="Normal"/>
    <w:next w:val="BodyText"/>
    <w:uiPriority w:val="9"/>
    <w:qFormat/>
    <w:rsid w:val="00901FB7"/>
    <w:pPr>
      <w:keepNext/>
      <w:keepLines/>
      <w:jc w:val="center"/>
      <w:outlineLvl w:val="0"/>
    </w:pPr>
    <w:rPr>
      <w:rFonts w:asciiTheme="majorHAnsi" w:cstheme="majorBidi" w:eastAsiaTheme="majorEastAsia" w:hAnsiTheme="majorHAnsi"/>
      <w:b/>
      <w:bCs/>
      <w:szCs w:val="32"/>
    </w:rPr>
  </w:style>
  <w:style w:styleId="Heading2" w:type="paragraph">
    <w:name w:val="heading 2"/>
    <w:basedOn w:val="Normal"/>
    <w:next w:val="BodyText"/>
    <w:uiPriority w:val="9"/>
    <w:unhideWhenUsed/>
    <w:qFormat/>
    <w:rsid w:val="00901FB7"/>
    <w:pPr>
      <w:keepNext/>
      <w:keepLines/>
      <w:outlineLvl w:val="1"/>
    </w:pPr>
    <w:rPr>
      <w:rFonts w:asciiTheme="majorHAnsi" w:cstheme="majorBidi" w:eastAsiaTheme="majorEastAsia" w:hAnsiTheme="majorHAnsi"/>
      <w:b/>
      <w:bCs/>
      <w:szCs w:val="28"/>
    </w:rPr>
  </w:style>
  <w:style w:styleId="Heading3" w:type="paragraph">
    <w:name w:val="heading 3"/>
    <w:basedOn w:val="Normal"/>
    <w:next w:val="BodyText"/>
    <w:uiPriority w:val="9"/>
    <w:unhideWhenUsed/>
    <w:qFormat/>
    <w:rsid w:val="00901FB7"/>
    <w:pPr>
      <w:keepNext/>
      <w:keepLines/>
      <w:outlineLvl w:val="2"/>
    </w:pPr>
    <w:rPr>
      <w:rFonts w:asciiTheme="majorHAnsi" w:cstheme="majorBidi" w:eastAsiaTheme="majorEastAsia" w:hAnsiTheme="majorHAnsi"/>
      <w:b/>
      <w:bCs/>
      <w:i/>
    </w:rPr>
  </w:style>
  <w:style w:styleId="Heading4" w:type="paragraph">
    <w:name w:val="heading 4"/>
    <w:basedOn w:val="Normal"/>
    <w:next w:val="BodyText"/>
    <w:uiPriority w:val="9"/>
    <w:unhideWhenUsed/>
    <w:qFormat/>
    <w:rsid w:val="008174AC"/>
    <w:pPr>
      <w:keepNext/>
      <w:keepLines/>
      <w:ind w:firstLine="720"/>
      <w:outlineLvl w:val="3"/>
    </w:pPr>
    <w:rPr>
      <w:rFonts w:asciiTheme="majorHAnsi" w:cstheme="majorBidi" w:eastAsiaTheme="majorEastAsia" w:hAnsiTheme="majorHAnsi"/>
      <w:b/>
      <w:bCs/>
    </w:rPr>
  </w:style>
  <w:style w:styleId="Heading5" w:type="paragraph">
    <w:name w:val="heading 5"/>
    <w:basedOn w:val="Normal"/>
    <w:next w:val="BodyText"/>
    <w:uiPriority w:val="9"/>
    <w:unhideWhenUsed/>
    <w:qFormat/>
    <w:rsid w:val="00BD022F"/>
    <w:pPr>
      <w:keepNext/>
      <w:keepLines/>
      <w:ind w:firstLine="720"/>
      <w:outlineLvl w:val="4"/>
    </w:pPr>
    <w:rPr>
      <w:rFonts w:asciiTheme="majorHAnsi" w:cstheme="majorBidi" w:eastAsiaTheme="majorEastAsia" w:hAnsiTheme="majorHAnsi"/>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472C4"/>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472C4"/>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472C4"/>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472C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9B41AF"/>
    <w:pPr>
      <w:ind w:firstLine="720"/>
    </w:pPr>
  </w:style>
  <w:style w:customStyle="1" w:styleId="FirstParagraph" w:type="paragraph">
    <w:name w:val="First Paragraph"/>
    <w:basedOn w:val="BodyText"/>
    <w:next w:val="BodyText"/>
    <w:qFormat/>
    <w:rsid w:val="008174AC"/>
  </w:style>
  <w:style w:customStyle="1" w:styleId="Compact" w:type="paragraph">
    <w:name w:val="Compact"/>
    <w:basedOn w:val="BodyText"/>
    <w:qFormat/>
    <w:rsid w:val="00387689"/>
    <w:pPr>
      <w:spacing w:line="240" w:lineRule="auto"/>
      <w:ind w:firstLine="0"/>
    </w:pPr>
  </w:style>
  <w:style w:styleId="Title" w:type="paragraph">
    <w:name w:val="Title"/>
    <w:basedOn w:val="Normal"/>
    <w:next w:val="BodyText"/>
    <w:link w:val="TitleChar"/>
    <w:qFormat/>
    <w:rsid w:val="00E401FC"/>
    <w:pPr>
      <w:jc w:val="center"/>
      <w:outlineLvl w:val="0"/>
    </w:pPr>
    <w:rPr>
      <w:b/>
      <w:bCs/>
    </w:rPr>
  </w:style>
  <w:style w:styleId="Subtitle" w:type="paragraph">
    <w:name w:val="Subtitle"/>
    <w:basedOn w:val="Title"/>
    <w:next w:val="BodyText"/>
    <w:qFormat/>
    <w:rsid w:val="00E401FC"/>
    <w:pPr>
      <w:outlineLvl w:val="1"/>
    </w:pPr>
    <w:rPr>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rsid w:val="0051128C"/>
    <w:pPr>
      <w:keepNext/>
      <w:keepLines/>
      <w:spacing w:after="300" w:before="300"/>
    </w:pPr>
    <w:rPr>
      <w:szCs w:val="20"/>
    </w:rPr>
  </w:style>
  <w:style w:styleId="Bibliography" w:type="paragraph">
    <w:name w:val="Bibliography"/>
    <w:basedOn w:val="Normal"/>
    <w:qFormat/>
    <w:rsid w:val="00CB7758"/>
    <w:pPr>
      <w:ind w:hanging="720" w:left="720"/>
    </w:pPr>
  </w:style>
  <w:style w:styleId="BlockText" w:type="paragraph">
    <w:name w:val="Block Text"/>
    <w:basedOn w:val="BodyText"/>
    <w:next w:val="BodyText"/>
    <w:uiPriority w:val="9"/>
    <w:unhideWhenUsed/>
    <w:qFormat/>
    <w:rsid w:val="0017682D"/>
    <w:pPr>
      <w:ind w:firstLine="0" w:left="720" w:right="720"/>
    </w:pPr>
  </w:style>
  <w:style w:styleId="FootnoteText" w:type="paragraph">
    <w:name w:val="footnote text"/>
    <w:basedOn w:val="Normal"/>
    <w:uiPriority w:val="9"/>
    <w:unhideWhenUsed/>
    <w:qFormat/>
  </w:style>
  <w:style w:customStyle="1" w:styleId="Table" w:type="table">
    <w:name w:val="Table"/>
    <w:semiHidden/>
    <w:unhideWhenUsed/>
    <w:qFormat/>
    <w:rsid w:val="00387689"/>
    <w:pPr>
      <w:spacing w:after="60" w:before="60"/>
    </w:pPr>
    <w:tblPr>
      <w:tblInd w:type="dxa" w:w="0"/>
      <w:tblBorders>
        <w:bottom w:color="auto" w:space="0" w:sz="4" w:val="single"/>
      </w:tblBorders>
      <w:tblCellMar>
        <w:top w:type="dxa" w:w="58"/>
        <w:left w:type="dxa" w:w="58"/>
        <w:bottom w:type="dxa" w:w="58"/>
        <w:right w:type="dxa" w:w="58"/>
      </w:tblCellMar>
    </w:tblPr>
    <w:tcPr>
      <w:vAlign w:val="center"/>
    </w:tcPr>
    <w:tblStylePr w:type="firstRow">
      <w:tblPr/>
      <w:tcPr>
        <w:tcBorders>
          <w:top w:color="auto" w:space="0" w:sz="4" w:val="single"/>
          <w:left w:val="nil"/>
          <w:bottom w:color="auto" w:space="0" w:sz="4" w:val="single"/>
          <w:right w:val="nil"/>
          <w:insideH w:val="nil"/>
          <w:insideV w:val="nil"/>
          <w:tl2br w:val="nil"/>
          <w:tr2bl w:val="nil"/>
        </w:tcBorders>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3B7C65"/>
    <w:pPr>
      <w:keepNext/>
      <w:keepLines/>
      <w:spacing w:after="120"/>
    </w:pPr>
    <w:rPr>
      <w:i/>
    </w:rPr>
  </w:style>
  <w:style w:customStyle="1" w:styleId="TableCaption" w:type="paragraph">
    <w:name w:val="Table Caption"/>
    <w:basedOn w:val="Caption"/>
  </w:style>
  <w:style w:customStyle="1" w:styleId="ImageCaption" w:type="paragraph">
    <w:name w:val="Image Caption"/>
    <w:basedOn w:val="Caption"/>
  </w:style>
  <w:style w:customStyle="1" w:styleId="Figure" w:type="paragraph">
    <w:name w:val="Figure"/>
    <w:basedOn w:val="Normal"/>
    <w:link w:val="FigureChar"/>
    <w:rsid w:val="00D630B7"/>
    <w:pPr>
      <w:spacing w:line="240" w:lineRule="auto"/>
    </w:pPr>
  </w:style>
  <w:style w:customStyle="1" w:styleId="CaptionedFigure" w:type="paragraph">
    <w:name w:val="Captioned Figure"/>
    <w:basedOn w:val="Figure"/>
    <w:rsid w:val="00AE5BBA"/>
  </w:style>
  <w:style w:customStyle="1" w:styleId="CaptionChar" w:type="character">
    <w:name w:val="Caption Char"/>
    <w:basedOn w:val="DefaultParagraphFont"/>
    <w:link w:val="Caption"/>
    <w:rsid w:val="003B7C65"/>
    <w:rPr>
      <w:i/>
    </w:rPr>
  </w:style>
  <w:style w:customStyle="1" w:styleId="VerbatimChar" w:type="character">
    <w:name w:val="Verbatim Char"/>
    <w:basedOn w:val="CaptionChar"/>
    <w:link w:val="SourceCode"/>
    <w:rPr>
      <w:rFonts w:ascii="Consolas" w:hAnsi="Consolas"/>
      <w:i/>
      <w:sz w:val="22"/>
    </w:rPr>
  </w:style>
  <w:style w:customStyle="1" w:styleId="SectionNumber" w:type="character">
    <w:name w:val="Section Number"/>
    <w:basedOn w:val="CaptionChar"/>
    <w:rPr>
      <w:i/>
    </w:rPr>
  </w:style>
  <w:style w:styleId="FootnoteReference" w:type="character">
    <w:name w:val="footnote reference"/>
    <w:basedOn w:val="CaptionChar"/>
    <w:rPr>
      <w:i/>
      <w:vertAlign w:val="superscript"/>
    </w:rPr>
  </w:style>
  <w:style w:styleId="Hyperlink" w:type="character">
    <w:name w:val="Hyperlink"/>
    <w:basedOn w:val="CaptionChar"/>
    <w:rsid w:val="00250BD5"/>
    <w:rPr>
      <w:i w:val="0"/>
      <w:color w:themeColor="accent1" w:val="4472C4"/>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2F5496"/>
    </w:rPr>
  </w:style>
  <w:style w:customStyle="1" w:styleId="BodyTextChar" w:type="character">
    <w:name w:val="Body Text Char"/>
    <w:basedOn w:val="DefaultParagraphFont"/>
    <w:link w:val="BodyText"/>
    <w:rsid w:val="009B41AF"/>
  </w:style>
  <w:style w:customStyle="1" w:styleId="red" w:type="paragraph">
    <w:name w:val="red"/>
    <w:basedOn w:val="BodyText"/>
    <w:link w:val="redChar"/>
    <w:qFormat/>
    <w:rsid w:val="00385D19"/>
    <w:rPr>
      <w:color w:val="FF0000"/>
    </w:rPr>
  </w:style>
  <w:style w:customStyle="1" w:styleId="redChar" w:type="character">
    <w:name w:val="red Char"/>
    <w:basedOn w:val="BodyTextChar"/>
    <w:link w:val="red"/>
    <w:rsid w:val="00385D19"/>
    <w:rPr>
      <w:color w:val="FF0000"/>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i/>
      <w:color w:val="003B4F"/>
      <w:sz w:val="22"/>
      <w:shd w:color="auto" w:fill="F1F3F5" w:val="clear"/>
    </w:rPr>
  </w:style>
  <w:style w:customStyle="1" w:styleId="DataTypeTok" w:type="character">
    <w:name w:val="DataTypeTok"/>
    <w:basedOn w:val="VerbatimChar"/>
    <w:rPr>
      <w:rFonts w:ascii="Consolas" w:hAnsi="Consolas"/>
      <w:i/>
      <w:color w:val="AD0000"/>
      <w:sz w:val="22"/>
      <w:shd w:color="auto" w:fill="F1F3F5" w:val="clear"/>
    </w:rPr>
  </w:style>
  <w:style w:customStyle="1" w:styleId="DecValTok" w:type="character">
    <w:name w:val="DecValTok"/>
    <w:basedOn w:val="VerbatimChar"/>
    <w:rPr>
      <w:rFonts w:ascii="Consolas" w:hAnsi="Consolas"/>
      <w:i/>
      <w:color w:val="AD0000"/>
      <w:sz w:val="22"/>
      <w:shd w:color="auto" w:fill="F1F3F5" w:val="clear"/>
    </w:rPr>
  </w:style>
  <w:style w:customStyle="1" w:styleId="BaseNTok" w:type="character">
    <w:name w:val="BaseNTok"/>
    <w:basedOn w:val="VerbatimChar"/>
    <w:rPr>
      <w:rFonts w:ascii="Consolas" w:hAnsi="Consolas"/>
      <w:i/>
      <w:color w:val="AD0000"/>
      <w:sz w:val="22"/>
      <w:shd w:color="auto" w:fill="F1F3F5" w:val="clear"/>
    </w:rPr>
  </w:style>
  <w:style w:customStyle="1" w:styleId="FloatTok" w:type="character">
    <w:name w:val="FloatTok"/>
    <w:basedOn w:val="VerbatimChar"/>
    <w:rPr>
      <w:rFonts w:ascii="Consolas" w:hAnsi="Consolas"/>
      <w:i/>
      <w:color w:val="AD0000"/>
      <w:sz w:val="22"/>
      <w:shd w:color="auto" w:fill="F1F3F5" w:val="clear"/>
    </w:rPr>
  </w:style>
  <w:style w:customStyle="1" w:styleId="ConstantTok" w:type="character">
    <w:name w:val="ConstantTok"/>
    <w:basedOn w:val="VerbatimChar"/>
    <w:rPr>
      <w:rFonts w:ascii="Consolas" w:hAnsi="Consolas"/>
      <w:i/>
      <w:color w:val="8F5902"/>
      <w:sz w:val="22"/>
      <w:shd w:color="auto" w:fill="F1F3F5" w:val="clear"/>
    </w:rPr>
  </w:style>
  <w:style w:customStyle="1" w:styleId="CharTok" w:type="character">
    <w:name w:val="CharTok"/>
    <w:basedOn w:val="VerbatimChar"/>
    <w:rPr>
      <w:rFonts w:ascii="Consolas" w:hAnsi="Consolas"/>
      <w:i/>
      <w:color w:val="20794D"/>
      <w:sz w:val="22"/>
      <w:shd w:color="auto" w:fill="F1F3F5" w:val="clear"/>
    </w:rPr>
  </w:style>
  <w:style w:customStyle="1" w:styleId="SpecialCharTok" w:type="character">
    <w:name w:val="SpecialCharTok"/>
    <w:basedOn w:val="VerbatimChar"/>
    <w:rPr>
      <w:rFonts w:ascii="Consolas" w:hAnsi="Consolas"/>
      <w:i/>
      <w:color w:val="5E5E5E"/>
      <w:sz w:val="22"/>
      <w:shd w:color="auto" w:fill="F1F3F5" w:val="clear"/>
    </w:rPr>
  </w:style>
  <w:style w:customStyle="1" w:styleId="StringTok" w:type="character">
    <w:name w:val="StringTok"/>
    <w:basedOn w:val="VerbatimChar"/>
    <w:rPr>
      <w:rFonts w:ascii="Consolas" w:hAnsi="Consolas"/>
      <w:i/>
      <w:color w:val="20794D"/>
      <w:sz w:val="22"/>
      <w:shd w:color="auto" w:fill="F1F3F5" w:val="clear"/>
    </w:rPr>
  </w:style>
  <w:style w:customStyle="1" w:styleId="VerbatimStringTok" w:type="character">
    <w:name w:val="VerbatimStringTok"/>
    <w:basedOn w:val="VerbatimChar"/>
    <w:rPr>
      <w:rFonts w:ascii="Consolas" w:hAnsi="Consolas"/>
      <w:i/>
      <w:color w:val="20794D"/>
      <w:sz w:val="22"/>
      <w:shd w:color="auto" w:fill="F1F3F5" w:val="clear"/>
    </w:rPr>
  </w:style>
  <w:style w:customStyle="1" w:styleId="SpecialStringTok" w:type="character">
    <w:name w:val="SpecialStringTok"/>
    <w:basedOn w:val="VerbatimChar"/>
    <w:rPr>
      <w:rFonts w:ascii="Consolas" w:hAnsi="Consolas"/>
      <w:i/>
      <w:color w:val="20794D"/>
      <w:sz w:val="22"/>
      <w:shd w:color="auto" w:fill="F1F3F5" w:val="clear"/>
    </w:rPr>
  </w:style>
  <w:style w:customStyle="1" w:styleId="ImportTok" w:type="character">
    <w:name w:val="ImportTok"/>
    <w:basedOn w:val="VerbatimChar"/>
    <w:rPr>
      <w:rFonts w:ascii="Consolas" w:hAnsi="Consolas"/>
      <w:i/>
      <w:color w:val="00769E"/>
      <w:sz w:val="22"/>
      <w:shd w:color="auto" w:fill="F1F3F5" w:val="clear"/>
    </w:rPr>
  </w:style>
  <w:style w:customStyle="1" w:styleId="CommentTok" w:type="character">
    <w:name w:val="CommentTok"/>
    <w:basedOn w:val="VerbatimChar"/>
    <w:rPr>
      <w:rFonts w:ascii="Consolas" w:hAnsi="Consolas"/>
      <w:i/>
      <w:color w:val="5E5E5E"/>
      <w:sz w:val="22"/>
      <w:shd w:color="auto" w:fill="F1F3F5" w:val="clear"/>
    </w:rPr>
  </w:style>
  <w:style w:customStyle="1" w:styleId="DocumentationTok" w:type="character">
    <w:name w:val="DocumentationTok"/>
    <w:basedOn w:val="VerbatimChar"/>
    <w:rPr>
      <w:rFonts w:ascii="Consolas" w:hAnsi="Consolas"/>
      <w:i w:val="0"/>
      <w:color w:val="5E5E5E"/>
      <w:sz w:val="22"/>
      <w:shd w:color="auto" w:fill="F1F3F5" w:val="clear"/>
    </w:rPr>
  </w:style>
  <w:style w:customStyle="1" w:styleId="AnnotationTok" w:type="character">
    <w:name w:val="AnnotationTok"/>
    <w:basedOn w:val="VerbatimChar"/>
    <w:rPr>
      <w:rFonts w:ascii="Consolas" w:hAnsi="Consolas"/>
      <w:i/>
      <w:color w:val="5E5E5E"/>
      <w:sz w:val="22"/>
      <w:shd w:color="auto" w:fill="F1F3F5" w:val="clear"/>
    </w:rPr>
  </w:style>
  <w:style w:customStyle="1" w:styleId="CommentVarTok" w:type="character">
    <w:name w:val="CommentVarTok"/>
    <w:basedOn w:val="VerbatimChar"/>
    <w:rPr>
      <w:rFonts w:ascii="Consolas" w:hAnsi="Consolas"/>
      <w:i w:val="0"/>
      <w:color w:val="5E5E5E"/>
      <w:sz w:val="22"/>
      <w:shd w:color="auto" w:fill="F1F3F5" w:val="clear"/>
    </w:rPr>
  </w:style>
  <w:style w:customStyle="1" w:styleId="OtherTok" w:type="character">
    <w:name w:val="OtherTok"/>
    <w:basedOn w:val="VerbatimChar"/>
    <w:rPr>
      <w:rFonts w:ascii="Consolas" w:hAnsi="Consolas"/>
      <w:i/>
      <w:color w:val="003B4F"/>
      <w:sz w:val="22"/>
      <w:shd w:color="auto" w:fill="F1F3F5" w:val="clear"/>
    </w:rPr>
  </w:style>
  <w:style w:customStyle="1" w:styleId="FunctionTok" w:type="character">
    <w:name w:val="FunctionTok"/>
    <w:basedOn w:val="VerbatimChar"/>
    <w:rPr>
      <w:rFonts w:ascii="Consolas" w:hAnsi="Consolas"/>
      <w:i/>
      <w:color w:val="4758AB"/>
      <w:sz w:val="22"/>
      <w:shd w:color="auto" w:fill="F1F3F5" w:val="clear"/>
    </w:rPr>
  </w:style>
  <w:style w:customStyle="1" w:styleId="VariableTok" w:type="character">
    <w:name w:val="VariableTok"/>
    <w:basedOn w:val="VerbatimChar"/>
    <w:rPr>
      <w:rFonts w:ascii="Consolas" w:hAnsi="Consolas"/>
      <w:i/>
      <w:color w:val="111111"/>
      <w:sz w:val="22"/>
      <w:shd w:color="auto" w:fill="F1F3F5" w:val="clear"/>
    </w:rPr>
  </w:style>
  <w:style w:customStyle="1" w:styleId="ControlFlowTok" w:type="character">
    <w:name w:val="ControlFlowTok"/>
    <w:basedOn w:val="VerbatimChar"/>
    <w:rPr>
      <w:rFonts w:ascii="Consolas" w:hAnsi="Consolas"/>
      <w:i/>
      <w:color w:val="003B4F"/>
      <w:sz w:val="22"/>
      <w:shd w:color="auto" w:fill="F1F3F5" w:val="clear"/>
    </w:rPr>
  </w:style>
  <w:style w:customStyle="1" w:styleId="OperatorTok" w:type="character">
    <w:name w:val="OperatorTok"/>
    <w:basedOn w:val="VerbatimChar"/>
    <w:rPr>
      <w:rFonts w:ascii="Consolas" w:hAnsi="Consolas"/>
      <w:i/>
      <w:color w:val="5E5E5E"/>
      <w:sz w:val="22"/>
      <w:shd w:color="auto" w:fill="F1F3F5" w:val="clear"/>
    </w:rPr>
  </w:style>
  <w:style w:customStyle="1" w:styleId="BuiltInTok" w:type="character">
    <w:name w:val="BuiltInTok"/>
    <w:basedOn w:val="VerbatimChar"/>
    <w:rPr>
      <w:rFonts w:ascii="Consolas" w:hAnsi="Consolas"/>
      <w:i/>
      <w:color w:val="003B4F"/>
      <w:sz w:val="22"/>
      <w:shd w:color="auto" w:fill="F1F3F5" w:val="clear"/>
    </w:rPr>
  </w:style>
  <w:style w:customStyle="1" w:styleId="ExtensionTok" w:type="character">
    <w:name w:val="ExtensionTok"/>
    <w:basedOn w:val="VerbatimChar"/>
    <w:rPr>
      <w:rFonts w:ascii="Consolas" w:hAnsi="Consolas"/>
      <w:i/>
      <w:color w:val="003B4F"/>
      <w:sz w:val="22"/>
      <w:shd w:color="auto" w:fill="F1F3F5" w:val="clear"/>
    </w:rPr>
  </w:style>
  <w:style w:customStyle="1" w:styleId="PreprocessorTok" w:type="character">
    <w:name w:val="PreprocessorTok"/>
    <w:basedOn w:val="VerbatimChar"/>
    <w:rPr>
      <w:rFonts w:ascii="Consolas" w:hAnsi="Consolas"/>
      <w:i/>
      <w:color w:val="AD0000"/>
      <w:sz w:val="22"/>
      <w:shd w:color="auto" w:fill="F1F3F5" w:val="clear"/>
    </w:rPr>
  </w:style>
  <w:style w:customStyle="1" w:styleId="AttributeTok" w:type="character">
    <w:name w:val="AttributeTok"/>
    <w:basedOn w:val="VerbatimChar"/>
    <w:rPr>
      <w:rFonts w:ascii="Consolas" w:hAnsi="Consolas"/>
      <w:i/>
      <w:color w:val="657422"/>
      <w:sz w:val="22"/>
      <w:shd w:color="auto" w:fill="F1F3F5" w:val="clear"/>
    </w:rPr>
  </w:style>
  <w:style w:customStyle="1" w:styleId="RegionMarkerTok" w:type="character">
    <w:name w:val="RegionMarkerTok"/>
    <w:basedOn w:val="VerbatimChar"/>
    <w:rPr>
      <w:rFonts w:ascii="Consolas" w:hAnsi="Consolas"/>
      <w:i/>
      <w:color w:val="003B4F"/>
      <w:sz w:val="22"/>
      <w:shd w:color="auto" w:fill="F1F3F5" w:val="clear"/>
    </w:rPr>
  </w:style>
  <w:style w:customStyle="1" w:styleId="InformationTok" w:type="character">
    <w:name w:val="InformationTok"/>
    <w:basedOn w:val="VerbatimChar"/>
    <w:rPr>
      <w:rFonts w:ascii="Consolas" w:hAnsi="Consolas"/>
      <w:i/>
      <w:color w:val="5E5E5E"/>
      <w:sz w:val="22"/>
      <w:shd w:color="auto" w:fill="F1F3F5" w:val="clear"/>
    </w:rPr>
  </w:style>
  <w:style w:customStyle="1" w:styleId="WarningTok" w:type="character">
    <w:name w:val="WarningTok"/>
    <w:basedOn w:val="VerbatimChar"/>
    <w:rPr>
      <w:rFonts w:ascii="Consolas" w:hAnsi="Consolas"/>
      <w:i w:val="0"/>
      <w:color w:val="5E5E5E"/>
      <w:sz w:val="22"/>
      <w:shd w:color="auto" w:fill="F1F3F5" w:val="clear"/>
    </w:rPr>
  </w:style>
  <w:style w:customStyle="1" w:styleId="AlertTok" w:type="character">
    <w:name w:val="AlertTok"/>
    <w:basedOn w:val="VerbatimChar"/>
    <w:rPr>
      <w:rFonts w:ascii="Consolas" w:hAnsi="Consolas"/>
      <w:i/>
      <w:color w:val="AD0000"/>
      <w:sz w:val="22"/>
      <w:shd w:color="auto" w:fill="F1F3F5" w:val="clear"/>
    </w:rPr>
  </w:style>
  <w:style w:customStyle="1" w:styleId="ErrorTok" w:type="character">
    <w:name w:val="ErrorTok"/>
    <w:basedOn w:val="VerbatimChar"/>
    <w:rPr>
      <w:rFonts w:ascii="Consolas" w:hAnsi="Consolas"/>
      <w:i/>
      <w:color w:val="AD0000"/>
      <w:sz w:val="22"/>
      <w:shd w:color="auto" w:fill="F1F3F5" w:val="clear"/>
    </w:rPr>
  </w:style>
  <w:style w:customStyle="1" w:styleId="NormalTok" w:type="character">
    <w:name w:val="NormalTok"/>
    <w:basedOn w:val="VerbatimChar"/>
    <w:rPr>
      <w:rFonts w:ascii="Consolas" w:hAnsi="Consolas"/>
      <w:i/>
      <w:color w:val="003B4F"/>
      <w:sz w:val="22"/>
      <w:shd w:color="auto" w:fill="F1F3F5" w:val="clear"/>
    </w:rPr>
  </w:style>
  <w:style w:styleId="Header" w:type="paragraph">
    <w:name w:val="header"/>
    <w:basedOn w:val="Normal"/>
    <w:link w:val="HeaderChar"/>
    <w:uiPriority w:val="99"/>
    <w:unhideWhenUsed/>
    <w:rsid w:val="00340B9E"/>
    <w:pPr>
      <w:tabs>
        <w:tab w:pos="4680" w:val="center"/>
        <w:tab w:pos="9360" w:val="right"/>
      </w:tabs>
    </w:pPr>
  </w:style>
  <w:style w:customStyle="1" w:styleId="HeaderChar" w:type="character">
    <w:name w:val="Header Char"/>
    <w:basedOn w:val="DefaultParagraphFont"/>
    <w:link w:val="Header"/>
    <w:uiPriority w:val="99"/>
    <w:rsid w:val="00340B9E"/>
  </w:style>
  <w:style w:styleId="Footer" w:type="paragraph">
    <w:name w:val="footer"/>
    <w:basedOn w:val="Normal"/>
    <w:link w:val="FooterChar"/>
    <w:unhideWhenUsed/>
    <w:rsid w:val="00340B9E"/>
    <w:pPr>
      <w:tabs>
        <w:tab w:pos="4680" w:val="center"/>
        <w:tab w:pos="9360" w:val="right"/>
      </w:tabs>
    </w:pPr>
  </w:style>
  <w:style w:customStyle="1" w:styleId="FooterChar" w:type="character">
    <w:name w:val="Footer Char"/>
    <w:basedOn w:val="DefaultParagraphFont"/>
    <w:link w:val="Footer"/>
    <w:rsid w:val="00340B9E"/>
  </w:style>
  <w:style w:customStyle="1" w:styleId="APAEnumerated" w:type="paragraph">
    <w:name w:val="APAEnumerated"/>
    <w:basedOn w:val="BodyText"/>
    <w:link w:val="APAEnumeratedChar"/>
    <w:qFormat/>
    <w:rsid w:val="00717963"/>
    <w:pPr>
      <w:numPr>
        <w:numId w:val="1"/>
      </w:numPr>
      <w:ind w:left="792"/>
    </w:pPr>
  </w:style>
  <w:style w:customStyle="1" w:styleId="TitleChar" w:type="character">
    <w:name w:val="Title Char"/>
    <w:basedOn w:val="DefaultParagraphFont"/>
    <w:link w:val="Title"/>
    <w:rsid w:val="00010E42"/>
    <w:rPr>
      <w:b/>
      <w:bCs/>
    </w:rPr>
  </w:style>
  <w:style w:customStyle="1" w:styleId="FigureTitle" w:type="paragraph">
    <w:name w:val="FigureTitle"/>
    <w:basedOn w:val="Figure"/>
    <w:link w:val="FigureTitleChar"/>
    <w:qFormat/>
    <w:rsid w:val="00064E3B"/>
    <w:pPr>
      <w:keepNext/>
      <w:keepLines/>
      <w:spacing w:line="480" w:lineRule="auto"/>
      <w:outlineLvl w:val="0"/>
    </w:pPr>
    <w:rPr>
      <w:b/>
    </w:rPr>
  </w:style>
  <w:style w:customStyle="1" w:styleId="FigureChar" w:type="character">
    <w:name w:val="Figure Char"/>
    <w:basedOn w:val="DefaultParagraphFont"/>
    <w:link w:val="Figure"/>
    <w:rsid w:val="00D630B7"/>
  </w:style>
  <w:style w:customStyle="1" w:styleId="FigureTitleChar" w:type="character">
    <w:name w:val="FigureTitle Char"/>
    <w:basedOn w:val="FigureChar"/>
    <w:link w:val="FigureTitle"/>
    <w:rsid w:val="00064E3B"/>
    <w:rPr>
      <w:b/>
    </w:rPr>
  </w:style>
  <w:style w:customStyle="1" w:styleId="FigureNote" w:type="paragraph">
    <w:name w:val="FigureNote"/>
    <w:basedOn w:val="BodyText"/>
    <w:link w:val="FigureNoteChar"/>
    <w:qFormat/>
    <w:rsid w:val="00A946AC"/>
    <w:pPr>
      <w:spacing w:before="60"/>
      <w:ind w:firstLine="0"/>
    </w:pPr>
  </w:style>
  <w:style w:customStyle="1" w:styleId="FigureNoteChar" w:type="character">
    <w:name w:val="FigureNote Char"/>
    <w:basedOn w:val="BodyTextChar"/>
    <w:link w:val="FigureNote"/>
    <w:rsid w:val="00A946AC"/>
  </w:style>
  <w:style w:customStyle="1" w:styleId="APAEnumeratedChar" w:type="character">
    <w:name w:val="APAEnumerated Char"/>
    <w:basedOn w:val="BodyTextChar"/>
    <w:link w:val="APAEnumerated"/>
    <w:rsid w:val="00717963"/>
  </w:style>
  <w:style w:customStyle="1" w:styleId="FigureWithNote" w:type="paragraph">
    <w:name w:val="FigureWithNote"/>
    <w:basedOn w:val="Figure"/>
    <w:link w:val="FigureWithNoteChar"/>
    <w:qFormat/>
    <w:rsid w:val="00B42EBE"/>
    <w:pPr>
      <w:keepNext/>
    </w:pPr>
  </w:style>
  <w:style w:customStyle="1" w:styleId="FigureWithNoteChar" w:type="character">
    <w:name w:val="FigureWithNote Char"/>
    <w:basedOn w:val="FigureChar"/>
    <w:link w:val="FigureWithNote"/>
    <w:rsid w:val="00B42EBE"/>
  </w:style>
  <w:style w:customStyle="1" w:styleId="FigureWithoutNote" w:type="paragraph">
    <w:name w:val="FigureWithoutNote"/>
    <w:basedOn w:val="Figure"/>
    <w:link w:val="FigureWithoutNoteChar"/>
    <w:qFormat/>
    <w:rsid w:val="005566BA"/>
  </w:style>
  <w:style w:customStyle="1" w:styleId="FigureWithoutNoteChar" w:type="character">
    <w:name w:val="FigureWithoutNote Char"/>
    <w:basedOn w:val="FigureChar"/>
    <w:link w:val="FigureWithoutNote"/>
    <w:rsid w:val="005566BA"/>
  </w:style>
  <w:style w:customStyle="1" w:styleId="AuthorNote" w:type="paragraph">
    <w:name w:val="AuthorNote"/>
    <w:basedOn w:val="Author"/>
    <w:qFormat/>
    <w:rsid w:val="00C84525"/>
    <w:pPr>
      <w:keepNext w:val="0"/>
      <w:keepLines w:val="0"/>
      <w:spacing w:after="0" w:line="480" w:lineRule="auto"/>
      <w:ind w:firstLine="7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Type="http://schemas.openxmlformats.org/officeDocument/2006/relationships/image" Id="rId93" Target="media/rId93.png" /><Relationship Type="http://schemas.openxmlformats.org/officeDocument/2006/relationships/image" Id="rId142" Target="media/rId142.png" /><Relationship Type="http://schemas.openxmlformats.org/officeDocument/2006/relationships/image" Id="rId147" Target="media/rId147.png" /><Relationship Type="http://schemas.openxmlformats.org/officeDocument/2006/relationships/image" Id="rId30" Target="media/rId30.png" /><Relationship Type="http://schemas.openxmlformats.org/officeDocument/2006/relationships/image" Id="rId46" Target="media/rId46.png" /><Relationship Type="http://schemas.openxmlformats.org/officeDocument/2006/relationships/image" Id="rId35" Target="media/rId35.png" /><Relationship Type="http://schemas.openxmlformats.org/officeDocument/2006/relationships/image" Id="rId131" Target="media/rId131.png" /><Relationship Type="http://schemas.openxmlformats.org/officeDocument/2006/relationships/image" Id="rId51" Target="media/rId51.png" /><Relationship Type="http://schemas.openxmlformats.org/officeDocument/2006/relationships/image" Id="rId40" Target="media/rId40.png" /><Relationship Type="http://schemas.openxmlformats.org/officeDocument/2006/relationships/image" Id="rId56" Target="media/rId56.png" /><Relationship Type="http://schemas.openxmlformats.org/officeDocument/2006/relationships/image" Id="rId77" Target="media/rId77.png" /><Relationship Type="http://schemas.openxmlformats.org/officeDocument/2006/relationships/image" Id="rId82" Target="media/rId82.png" /><Relationship Type="http://schemas.openxmlformats.org/officeDocument/2006/relationships/image" Id="rId72" Target="media/rId72.png" /><Relationship Type="http://schemas.openxmlformats.org/officeDocument/2006/relationships/image" Id="rId120" Target="media/rId120.png" /><Relationship Type="http://schemas.openxmlformats.org/officeDocument/2006/relationships/image" Id="rId101" Target="media/rId101.png" /><Relationship Type="http://schemas.openxmlformats.org/officeDocument/2006/relationships/image" Id="rId112" Target="media/rId112.png" /><Relationship Type="http://schemas.openxmlformats.org/officeDocument/2006/relationships/image" Id="rId25" Target="media/rId25.png" /><Relationship Type="http://schemas.openxmlformats.org/officeDocument/2006/relationships/image" Id="rId65" Target="media/rId65.png" /><Relationship Type="http://schemas.openxmlformats.org/officeDocument/2006/relationships/image" Id="rId136" Target="media/rId136.png" /><Relationship Type="http://schemas.openxmlformats.org/officeDocument/2006/relationships/image" Id="rId87" Target="media/rId87.png" /><Relationship Type="http://schemas.openxmlformats.org/officeDocument/2006/relationships/image" Id="rId125" Target="media/rId125.png" /><Relationship Type="http://schemas.openxmlformats.org/officeDocument/2006/relationships/image" Id="rId165" Target="media/rId165.png" /><Relationship Type="http://schemas.openxmlformats.org/officeDocument/2006/relationships/image" Id="rId154" Target="media/rId154.png" /><Relationship Type="http://schemas.openxmlformats.org/officeDocument/2006/relationships/image" Id="rId158" Target="media/rId158.png" /><Relationship Type="http://schemas.openxmlformats.org/officeDocument/2006/relationships/hyperlink" Id="rId201" Target="https://cran.r-project.org/web/packages/iarm/index.html" TargetMode="External" /><Relationship Type="http://schemas.openxmlformats.org/officeDocument/2006/relationships/hyperlink" Id="rId181" Target="https://doi.org/10.1002/9781118574454.ch5" TargetMode="External" /><Relationship Type="http://schemas.openxmlformats.org/officeDocument/2006/relationships/hyperlink" Id="rId173" Target="https://doi.org/10.1007/BF02291180" TargetMode="External" /><Relationship Type="http://schemas.openxmlformats.org/officeDocument/2006/relationships/hyperlink" Id="rId211" Target="https://doi.org/10.1007/BF02294627" TargetMode="External" /><Relationship Type="http://schemas.openxmlformats.org/officeDocument/2006/relationships/hyperlink" Id="rId197" Target="https://doi.org/10.1007/BF02296272" TargetMode="External" /><Relationship Type="http://schemas.openxmlformats.org/officeDocument/2006/relationships/hyperlink" Id="rId199" Target="https://doi.org/10.1080/10705511.2024.2308005" TargetMode="External" /><Relationship Type="http://schemas.openxmlformats.org/officeDocument/2006/relationships/hyperlink" Id="rId175" Target="https://doi.org/10.1111/j.2517-6161.1995.tb02031.x" TargetMode="External" /><Relationship Type="http://schemas.openxmlformats.org/officeDocument/2006/relationships/hyperlink" Id="rId179" Target="https://doi.org/10.1177/0013164410379322" TargetMode="External" /><Relationship Type="http://schemas.openxmlformats.org/officeDocument/2006/relationships/hyperlink" Id="rId193" Target="https://doi.org/10.1177/0146621611410227" TargetMode="External" /><Relationship Type="http://schemas.openxmlformats.org/officeDocument/2006/relationships/hyperlink" Id="rId183" Target="https://doi.org/10.1177/0146621616677520" TargetMode="External" /><Relationship Type="http://schemas.openxmlformats.org/officeDocument/2006/relationships/hyperlink" Id="rId203" Target="https://doi.org/10.1186/s40488-020-00108-7" TargetMode="External" /><Relationship Type="http://schemas.openxmlformats.org/officeDocument/2006/relationships/hyperlink" Id="rId195" Target="https://doi.org/10.18637/jss.v020.i09" TargetMode="External" /><Relationship Type="http://schemas.openxmlformats.org/officeDocument/2006/relationships/hyperlink" Id="rId187" Target="https://doi.org/10.2307/2281536" TargetMode="External" /><Relationship Type="http://schemas.openxmlformats.org/officeDocument/2006/relationships/hyperlink" Id="rId185" Target="https://doi.org/10.3389/fpsyg.2018.02710" TargetMode="External" /><Relationship Type="http://schemas.openxmlformats.org/officeDocument/2006/relationships/hyperlink" Id="rId205" Target="https://doi.org/10.4135/9781412985413" TargetMode="External" /><Relationship Type="http://schemas.openxmlformats.org/officeDocument/2006/relationships/hyperlink" Id="rId189" Target="https://github.com/pgmj/easyRasch" TargetMode="External" /><Relationship Type="http://schemas.openxmlformats.org/officeDocument/2006/relationships/hyperlink" Id="rId215" Target="https://github.com/pgmj/easyRasch/" TargetMode="External" /><Relationship Type="http://schemas.openxmlformats.org/officeDocument/2006/relationships/hyperlink" Id="rId216" Target="https://github.com/pgmj/easyRasch/blob/main/R/easyRasch.R" TargetMode="External" /><Relationship Type="http://schemas.openxmlformats.org/officeDocument/2006/relationships/hyperlink" Id="rId22" Target="https://github.com/pgmj/rasch_itemfit" TargetMode="External" /><Relationship Type="http://schemas.openxmlformats.org/officeDocument/2006/relationships/hyperlink" Id="rId191" Target="https://pgmj.github.io/simcutoffs.html" TargetMode="External" /><Relationship Type="http://schemas.openxmlformats.org/officeDocument/2006/relationships/hyperlink" Id="rId20" Target="https://rasch.org/rmt/rmt162f.htm" TargetMode="External" /><Relationship Type="http://schemas.openxmlformats.org/officeDocument/2006/relationships/hyperlink" Id="rId207" Target="https://www.ncbi.nlm.nih.gov/pubmed/12011501" TargetMode="External" /><Relationship Type="http://schemas.openxmlformats.org/officeDocument/2006/relationships/hyperlink" Id="rId209" Target="https://www.ncbi.nlm.nih.gov/pubmed/9661732" TargetMode="External" /></Relationships>
</file>

<file path=word/_rels/footnotes.xml.rels><?xml version="1.0" encoding="UTF-8"?><Relationships xmlns="http://schemas.openxmlformats.org/package/2006/relationships"><Relationship Type="http://schemas.openxmlformats.org/officeDocument/2006/relationships/hyperlink" Id="rId201" Target="https://cran.r-project.org/web/packages/iarm/index.html" TargetMode="External" /><Relationship Type="http://schemas.openxmlformats.org/officeDocument/2006/relationships/hyperlink" Id="rId181" Target="https://doi.org/10.1002/9781118574454.ch5" TargetMode="External" /><Relationship Type="http://schemas.openxmlformats.org/officeDocument/2006/relationships/hyperlink" Id="rId173" Target="https://doi.org/10.1007/BF02291180" TargetMode="External" /><Relationship Type="http://schemas.openxmlformats.org/officeDocument/2006/relationships/hyperlink" Id="rId211" Target="https://doi.org/10.1007/BF02294627" TargetMode="External" /><Relationship Type="http://schemas.openxmlformats.org/officeDocument/2006/relationships/hyperlink" Id="rId197" Target="https://doi.org/10.1007/BF02296272" TargetMode="External" /><Relationship Type="http://schemas.openxmlformats.org/officeDocument/2006/relationships/hyperlink" Id="rId199" Target="https://doi.org/10.1080/10705511.2024.2308005" TargetMode="External" /><Relationship Type="http://schemas.openxmlformats.org/officeDocument/2006/relationships/hyperlink" Id="rId175" Target="https://doi.org/10.1111/j.2517-6161.1995.tb02031.x" TargetMode="External" /><Relationship Type="http://schemas.openxmlformats.org/officeDocument/2006/relationships/hyperlink" Id="rId179" Target="https://doi.org/10.1177/0013164410379322" TargetMode="External" /><Relationship Type="http://schemas.openxmlformats.org/officeDocument/2006/relationships/hyperlink" Id="rId193" Target="https://doi.org/10.1177/0146621611410227" TargetMode="External" /><Relationship Type="http://schemas.openxmlformats.org/officeDocument/2006/relationships/hyperlink" Id="rId183" Target="https://doi.org/10.1177/0146621616677520" TargetMode="External" /><Relationship Type="http://schemas.openxmlformats.org/officeDocument/2006/relationships/hyperlink" Id="rId203" Target="https://doi.org/10.1186/s40488-020-00108-7" TargetMode="External" /><Relationship Type="http://schemas.openxmlformats.org/officeDocument/2006/relationships/hyperlink" Id="rId195" Target="https://doi.org/10.18637/jss.v020.i09" TargetMode="External" /><Relationship Type="http://schemas.openxmlformats.org/officeDocument/2006/relationships/hyperlink" Id="rId187" Target="https://doi.org/10.2307/2281536" TargetMode="External" /><Relationship Type="http://schemas.openxmlformats.org/officeDocument/2006/relationships/hyperlink" Id="rId185" Target="https://doi.org/10.3389/fpsyg.2018.02710" TargetMode="External" /><Relationship Type="http://schemas.openxmlformats.org/officeDocument/2006/relationships/hyperlink" Id="rId205" Target="https://doi.org/10.4135/9781412985413" TargetMode="External" /><Relationship Type="http://schemas.openxmlformats.org/officeDocument/2006/relationships/hyperlink" Id="rId189" Target="https://github.com/pgmj/easyRasch" TargetMode="External" /><Relationship Type="http://schemas.openxmlformats.org/officeDocument/2006/relationships/hyperlink" Id="rId215" Target="https://github.com/pgmj/easyRasch/" TargetMode="External" /><Relationship Type="http://schemas.openxmlformats.org/officeDocument/2006/relationships/hyperlink" Id="rId216" Target="https://github.com/pgmj/easyRasch/blob/main/R/easyRasch.R" TargetMode="External" /><Relationship Type="http://schemas.openxmlformats.org/officeDocument/2006/relationships/hyperlink" Id="rId22" Target="https://github.com/pgmj/rasch_itemfit" TargetMode="External" /><Relationship Type="http://schemas.openxmlformats.org/officeDocument/2006/relationships/hyperlink" Id="rId191" Target="https://pgmj.github.io/simcutoffs.html" TargetMode="External" /><Relationship Type="http://schemas.openxmlformats.org/officeDocument/2006/relationships/hyperlink" Id="rId20" Target="https://rasch.org/rmt/rmt162f.htm" TargetMode="External" /><Relationship Type="http://schemas.openxmlformats.org/officeDocument/2006/relationships/hyperlink" Id="rId207" Target="https://www.ncbi.nlm.nih.gov/pubmed/12011501" TargetMode="External" /><Relationship Type="http://schemas.openxmlformats.org/officeDocument/2006/relationships/hyperlink" Id="rId209" Target="https://www.ncbi.nlm.nih.gov/pubmed/96617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Groovy Title</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Rasch, Psychometrics, Item fit, Cutoffs, Critical values, Model fit</cp:keywords>
  <dcterms:created xsi:type="dcterms:W3CDTF">2025-01-15T16:41:38Z</dcterms:created>
  <dcterms:modified xsi:type="dcterms:W3CDTF">2025-01-15T16:41:38Z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cap-location">
    <vt:lpwstr>top</vt:lpwstr>
  </property>
  <property fmtid="{D5CDD505-2E9C-101B-9397-08002B2CF9AE}" pid="9" name="citation">
    <vt:lpwstr/>
  </property>
  <property fmtid="{D5CDD505-2E9C-101B-9397-08002B2CF9AE}" pid="10" name="clear-hidden-classes">
    <vt:lpwstr>none</vt:lpwstr>
  </property>
  <property fmtid="{D5CDD505-2E9C-101B-9397-08002B2CF9AE}" pid="11" name="csl">
    <vt:lpwstr>apa.csl</vt:lpwstr>
  </property>
  <property fmtid="{D5CDD505-2E9C-101B-9397-08002B2CF9AE}" pid="12" name="editor_options">
    <vt:lpwstr/>
  </property>
  <property fmtid="{D5CDD505-2E9C-101B-9397-08002B2CF9AE}" pid="13" name="fig-cap-location">
    <vt:lpwstr>top</vt:lpwstr>
  </property>
  <property fmtid="{D5CDD505-2E9C-101B-9397-08002B2CF9AE}" pid="14" name="funding">
    <vt:lpwstr/>
  </property>
  <property fmtid="{D5CDD505-2E9C-101B-9397-08002B2CF9AE}" pid="15" name="google-scholar">
    <vt:lpwstr>True</vt:lpwstr>
  </property>
  <property fmtid="{D5CDD505-2E9C-101B-9397-08002B2CF9AE}" pid="16" name="header-includes">
    <vt:lpwstr/>
  </property>
  <property fmtid="{D5CDD505-2E9C-101B-9397-08002B2CF9AE}" pid="17" name="include-after">
    <vt:lpwstr/>
  </property>
  <property fmtid="{D5CDD505-2E9C-101B-9397-08002B2CF9AE}" pid="18" name="include-before">
    <vt:lpwstr/>
  </property>
  <property fmtid="{D5CDD505-2E9C-101B-9397-08002B2CF9AE}" pid="19" name="key-points">
    <vt:lpwstr/>
  </property>
  <property fmtid="{D5CDD505-2E9C-101B-9397-08002B2CF9AE}" pid="20" name="knitr">
    <vt:lpwstr/>
  </property>
  <property fmtid="{D5CDD505-2E9C-101B-9397-08002B2CF9AE}" pid="21" name="labels">
    <vt:lpwstr/>
  </property>
  <property fmtid="{D5CDD505-2E9C-101B-9397-08002B2CF9AE}" pid="22" name="license">
    <vt:lpwstr/>
  </property>
  <property fmtid="{D5CDD505-2E9C-101B-9397-08002B2CF9AE}" pid="23" name="lightbox">
    <vt:lpwstr>auto</vt:lpwstr>
  </property>
  <property fmtid="{D5CDD505-2E9C-101B-9397-08002B2CF9AE}" pid="24" name="manuscript">
    <vt:lpwstr/>
  </property>
  <property fmtid="{D5CDD505-2E9C-101B-9397-08002B2CF9AE}" pid="25" name="notebook-preview-options">
    <vt:lpwstr/>
  </property>
  <property fmtid="{D5CDD505-2E9C-101B-9397-08002B2CF9AE}" pid="26" name="quarto-internal">
    <vt:lpwstr/>
  </property>
  <property fmtid="{D5CDD505-2E9C-101B-9397-08002B2CF9AE}" pid="27" name="remove-hidden">
    <vt:lpwstr>all</vt:lpwstr>
  </property>
  <property fmtid="{D5CDD505-2E9C-101B-9397-08002B2CF9AE}" pid="28" name="revealjs-plugins">
    <vt:lpwstr/>
  </property>
  <property fmtid="{D5CDD505-2E9C-101B-9397-08002B2CF9AE}" pid="29" name="shorttitle">
    <vt:lpwstr>Detecting item misfit in Rasch models</vt:lpwstr>
  </property>
  <property fmtid="{D5CDD505-2E9C-101B-9397-08002B2CF9AE}" pid="30" name="tbl-cap-location">
    <vt:lpwstr>top</vt:lpwstr>
  </property>
  <property fmtid="{D5CDD505-2E9C-101B-9397-08002B2CF9AE}" pid="31" name="template-partials">
    <vt:lpwstr/>
  </property>
  <property fmtid="{D5CDD505-2E9C-101B-9397-08002B2CF9AE}" pid="32" name="theme">
    <vt:lpwstr>cosmo</vt:lpwstr>
  </property>
  <property fmtid="{D5CDD505-2E9C-101B-9397-08002B2CF9AE}" pid="33" name="title-block-style">
    <vt:lpwstr>manuscript</vt:lpwstr>
  </property>
  <property fmtid="{D5CDD505-2E9C-101B-9397-08002B2CF9AE}" pid="34" name="toc-title">
    <vt:lpwstr>Table of contents</vt:lpwstr>
  </property>
  <property fmtid="{D5CDD505-2E9C-101B-9397-08002B2CF9AE}" pid="35" name="unroll-markdown-cells">
    <vt:lpwstr>True</vt:lpwstr>
  </property>
</Properties>
</file>